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FC" w:rsidRPr="001378FC" w:rsidRDefault="001378FC" w:rsidP="001378FC"/>
    <w:p w:rsidR="00516F89" w:rsidRPr="00516F89" w:rsidRDefault="001A337B" w:rsidP="00516F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</w:t>
      </w:r>
      <w:r w:rsidR="00516F89" w:rsidRPr="00516F89">
        <w:rPr>
          <w:rFonts w:ascii="Times New Roman" w:hAnsi="Times New Roman"/>
          <w:b/>
          <w:sz w:val="28"/>
          <w:szCs w:val="28"/>
        </w:rPr>
        <w:t xml:space="preserve"> году на территории Великого Новгорода реализованы</w:t>
      </w:r>
    </w:p>
    <w:p w:rsidR="001378FC" w:rsidRDefault="00516F89" w:rsidP="00516F89">
      <w:pPr>
        <w:jc w:val="center"/>
        <w:rPr>
          <w:rFonts w:ascii="Times New Roman" w:hAnsi="Times New Roman"/>
          <w:b/>
          <w:sz w:val="28"/>
          <w:szCs w:val="28"/>
        </w:rPr>
      </w:pPr>
      <w:r w:rsidRPr="00516F89">
        <w:rPr>
          <w:rFonts w:ascii="Times New Roman" w:hAnsi="Times New Roman"/>
          <w:b/>
          <w:sz w:val="28"/>
          <w:szCs w:val="28"/>
        </w:rPr>
        <w:t>следующие проекты: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техническое перевооружение агрегата аммиака №3 до производительности 2300 тонн в сутки (ПАО «Акрон»), объём инвестиций 13,723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2020-2024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реконструкция гостиницы «Акрон» ул. Предтеченская, д. 24 (ООО «Гостиница «Акрон»), объём инвестиций - 2 567,2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создано 54 новых рабочих места. Срок реализации проекта 2021-2024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строительство дома ветеранов по ул. Береговая (Министерство труда и социальной защиты Новгородской области), объём инвестиций - 726,5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 создано 27 новых рабочих мест. Срок реализации проекта 2021-2024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строительство локальных очистных сооружений в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Деревяницком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микрорайоне по ул. Спасателей (Муниципальное автономное учреждение «Центр реализации проектов комфортной городской среды»), объём инвестиций – 500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2023-2024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строительство промышленного технопарка, включая технологическое и инфраструктурное развитие (ООО Технопарк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Трансвит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- 456,2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45 чел. Срок реализации проекта 2022-2024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реконструкция Морского центра им. Н.Г.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Варухина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(ГОАУ ДО «Морской центр капитана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Варухина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Н. Г.») (2 этап), объём инвестиций - 400,0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2021-2024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реконструкция склада консервной продукции, строительство комплекса для размещения холодильных камер и открытие розничной сети  магазинов а также приобретение производственного оборудования (ООО «Новгородский пищевой комбинат»), объём инвестиций - 171,1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количество новых рабочих мест 50 чел. Срок реализации проекта 2021-2024 гг.; 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реставрация и приспособление для современного использования объекта культурного наследия регионального значения «Дом Г.М. Сметанина», XIX в.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по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</w:t>
      </w: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lastRenderedPageBreak/>
        <w:t xml:space="preserve">адресу: г. Великий Новгород, ул. Большая Московская, д. 8/7. Объём инвестиций 202,0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2023-2024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строительство магазина по продаже автомобилей и автозапчастей по ул. Черепичная, д. 2 (ООО «РУС-АВТО ТРЕЙД»), объём инвестиций – 60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 количество новых рабочих мест 34 чел. Срок реализации проекта 2022-2024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обновление и модернизации действующего гостиничного комплекса «Интурист» по ул. Великая д. 16 (ООО «Интурист-Новгород»), объём инвестиций - 39,1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количество новых рабочих мест – 4 человека. Срок реализации проекта 2020-2024 гг.; 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создание рекреационного парка «Красное поле». Земельный участок ограничен тремя улицами: Фёдоровский Ручей, Панкратова, Московской (ООО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ЖарСвет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 объём инвестиций – 63,2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2019-2025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разработка программного обеспечения для передачи, обработки и хранения данных сигналов в медицинских приборах с применением искусственного интеллекта (для систем мониторинга уровня сахара), (ООО «Антарес Софтвер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Груп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- 10,0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количество новых рабочих мест - 3 человека. Срок реализации проекта 2022-2024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строительство магазина по улице Рахманинова, д.14 (ООО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Энергоаудит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»). Срок реализации проекта 2022-2024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строительство школы на 1501 учащихся по адресу ул. Королева, (Администрация Великого Новгорода), объём инвестиций - 3000,00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2022-2024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В текущем году на территории Великого Новгорода продолжается реализация 27 частных инвестиционных проекта с общим объемом инвестиций 39,7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По данным проектам планируется создание более 600 новых рабочих мест. Также реализуются 5 инвестиционных проектов с бюджетным финансированием в размере 14,4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В стадии реализации находятся следующие инвестиционные проекты: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ПАО «Акрон» реализует 3 инвестиционных проекта: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lastRenderedPageBreak/>
        <w:t>1) техническое перевооружение агрегата аммиака №2 до производительности 2300 тонн в сутки (ПАО «Акрон»). Срок реализации проекта 2021-2026 гг.,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2) увеличение мощности агрегатов синтеза и дистилляции карбамида №1-4 до 3 100 т/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сут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. Срок реализации 2022-2026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3) строительство производства нитрат кальция № 2 мощностью 135 тыс. тонн в год (плановое количество рабочих мест – 65). Срок реализации 2023-2024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4) строительство завода по производству комбикормов для лососевых рыб (ООО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Инарктика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Северо-Запад»), объём инвестиций - 6260,0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70 чел. Срок реализации проекта 2022-2025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5) реконструкция производственного цеха по ул. Магистральная, д.10, (ООО ПК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Волховец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- 1000,0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2024-2025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6) строительство нового малярного цеха (ЗАО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Новтрак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- 500,0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100 чел. Срок реализации проекта 2023-2027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7) запуск двух производственных линий по производству безалкогольных напитков (ООО «Мидас»), объём инвестиций - 100,0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62 чел. Срок реализации проекта 2023-2024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8) производство сетевого телекоммуникационного оборудования (ООО «Н3Ком»), объём инвестиций - 180,0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2024-2025 гг.; 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9) Расширение и модернизация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призводственной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мощности в обособленном подразделении (ООО «ХПП №1»), объём инвестиций - 52,5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30 чел. Срок реализации проекта 2024-2025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10)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Строительсво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цеха по производству пищевого льда с производительностью 28 тонн пищевого льда в сутки (ООО «НБН-Пломбир»), объём инвестиций – 50,0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20 чел. Срок реализации проекта 2024-2025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11) Запуск цеха по изготовлению вафельных стаканчиков для мороженного с производительностью 240 тыс. штук в сутки (ООО «НБН-Пломбир»), объём </w:t>
      </w: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lastRenderedPageBreak/>
        <w:t xml:space="preserve">инвестиций – 45,0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28 чел. Срок реализации проекта 2024-2025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12) строительство цеха по ул. Б. Санкт-Петербургская - II очередь (ИП Горелов А.А.), объём инвестиций - 25,0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10 чел. Срок реализации проекта 2021-2024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13) реконструкция отеля «Русский» (ООО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Механикз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- 100,0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10 чел. Срок реализации проекта 2019-2025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14) строительство гостиницы на ул. Б. Московская, д. 30 (ИП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Прозоров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Владимир Михайлович), объём инвестиций - 78,0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5 чел. Срок реализации проекта 2020-2026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15) восстановление объекта культурного наследия регионального значения «Комплекс построек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медопивоваренного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завода «Богемия», XIX в. с приспособлением для современного использования» (ООО «Эксперт»), объём инвестиций - 725,0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100 чел. Срок реализации проекта 2019-2026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16) строительство гостиничного комплекса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Гзень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Ривер Парк» (ООО «Сакура»), объём инвестиций - 1 512,0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2019-2025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17) строительство гостевого дома по ул. Телегина-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Редятина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, д. 7 (ИП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Тихова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Людмила Сергеевна), объём инвестиций - 50,0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2023-2025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18) создание объекта социально-культурного назначения - общественно-развлекательного центра «Мадагаскар» (ИП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Бондалетов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А.А.), объём инвестиций -  195,0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40 чел. Срок реализации проекта 2021-2025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19) строительство ТРЦ «Московский» по ул. Державина (ООО «АБЗ-Подберезье»), объём инвестиций - 320,0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15 чел. Срок реализации проекта 2021-2024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lastRenderedPageBreak/>
        <w:t>20) строительство дилерского центра по продажам и обслуживанию сельхозтехники (ООО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Еврохимсервис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- 200,0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20 чел. Срок реализации проекта 2024-2025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21) строительство Аквапарка на территории г. В. Новгород (ООО «Аква»), объём инвестиций - 811,03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58 чел. Срок реализации проекта 2022-2026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22) благоустройство прилегающей к объектам инновационного научно-технологического центра «Интеллектуальная электроника – Валдай» рекреационной территории (АО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Роснефтегаз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- 678,41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2023-2025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23) строительство объекта капитального строительства «Лабораторный корпус полупроводникового материаловедения» (АО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Роснефтегаз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- 1100,00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30 человек . Срок реализации проекта 2023-2025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24) строительство линейного объекта капитального строительства «Пассажирская подвесная канатная дорога через р. Волхов» (АО «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Роснефтегаз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»), объём инвестиций - 571,6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плановое количество рабочих мест 20 человек. Срок реализации проекта 2023-2025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25) строительство объектов гостиничного комплекса («СПА-комплекс» по ул. Великая, д. 16 (ООО «Отель Интурист»), объём инвестиций – 200,00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2023-2025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26) реконструкция отеля «Интурист» по ул. Великая, д.16 (ООО «Отель Интурист»), объём инвестиций – 200,00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2023-2026 гг.;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27) организация прогулочных маршрутов по направлениям: маршрут Великий Новгород –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Взвад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, а также Юрьевского монастыря,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Рюрикова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городища и </w:t>
      </w:r>
      <w:proofErr w:type="spell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Хутынского</w:t>
      </w:r>
      <w:proofErr w:type="spell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монастыря).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(ООО «Восход»), объём инвестиций – 100,00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млн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 Срок реализации проекта 2025гг.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Таким образом, в стадии реализации находятся 27 частных инвестиционных проектов на общую сумму 39,7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в том числе: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в производственной сфере - 12 проектов на сумму 32,9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 рублей; 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lastRenderedPageBreak/>
        <w:t xml:space="preserve">в сфере туризма – 12 проектов на общую сумму 4,2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рублей, в том числе из них 7 гостиниц на сумму 2,8 млрд рублей;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в сфере оказания услуг - 4 проекта на сумму 1,5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рублей;</w:t>
      </w:r>
    </w:p>
    <w:p w:rsidR="001A337B" w:rsidRP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в сфере образование - 1 на сумму 1,100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</w:t>
      </w:r>
    </w:p>
    <w:p w:rsidR="001A337B" w:rsidRDefault="001A337B" w:rsidP="001A337B">
      <w:pPr>
        <w:spacing w:before="48" w:after="48" w:line="360" w:lineRule="auto"/>
        <w:ind w:firstLine="709"/>
        <w:jc w:val="both"/>
        <w:rPr>
          <w:rFonts w:ascii="Times New Roman" w:eastAsia="Times New Roman" w:hAnsi="Times New Roman"/>
          <w:bCs/>
          <w:kern w:val="2"/>
          <w:sz w:val="26"/>
          <w:szCs w:val="26"/>
        </w:rPr>
      </w:pPr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Также реализуются 5 инвестиционных проектов с бюджетным финансированием на сумму 14,4 </w:t>
      </w:r>
      <w:proofErr w:type="gramStart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>млрд</w:t>
      </w:r>
      <w:proofErr w:type="gramEnd"/>
      <w:r w:rsidRPr="001A337B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 рублей.</w:t>
      </w:r>
      <w:bookmarkStart w:id="0" w:name="_GoBack"/>
      <w:bookmarkEnd w:id="0"/>
    </w:p>
    <w:sectPr w:rsidR="001A337B" w:rsidSect="00A37A8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6B"/>
    <w:rsid w:val="000250AE"/>
    <w:rsid w:val="0002702C"/>
    <w:rsid w:val="000273E4"/>
    <w:rsid w:val="00053B4A"/>
    <w:rsid w:val="000D20FC"/>
    <w:rsid w:val="000F4574"/>
    <w:rsid w:val="000F5030"/>
    <w:rsid w:val="001022A1"/>
    <w:rsid w:val="001228F9"/>
    <w:rsid w:val="001378FC"/>
    <w:rsid w:val="00141B70"/>
    <w:rsid w:val="001535F7"/>
    <w:rsid w:val="00163646"/>
    <w:rsid w:val="00171028"/>
    <w:rsid w:val="00181BF9"/>
    <w:rsid w:val="00197366"/>
    <w:rsid w:val="001A337B"/>
    <w:rsid w:val="001D7454"/>
    <w:rsid w:val="001E4080"/>
    <w:rsid w:val="001F7930"/>
    <w:rsid w:val="002417C4"/>
    <w:rsid w:val="00251263"/>
    <w:rsid w:val="00254265"/>
    <w:rsid w:val="00272782"/>
    <w:rsid w:val="0027279E"/>
    <w:rsid w:val="00296763"/>
    <w:rsid w:val="002B1C4C"/>
    <w:rsid w:val="002C1C12"/>
    <w:rsid w:val="002C7DEA"/>
    <w:rsid w:val="0030279E"/>
    <w:rsid w:val="0030775F"/>
    <w:rsid w:val="003118A4"/>
    <w:rsid w:val="00347E4E"/>
    <w:rsid w:val="00350F16"/>
    <w:rsid w:val="00357CDE"/>
    <w:rsid w:val="00372F8D"/>
    <w:rsid w:val="003A7CEE"/>
    <w:rsid w:val="003E2FFC"/>
    <w:rsid w:val="003E615B"/>
    <w:rsid w:val="003F5061"/>
    <w:rsid w:val="00410280"/>
    <w:rsid w:val="00414A3C"/>
    <w:rsid w:val="00420E8C"/>
    <w:rsid w:val="00434AAE"/>
    <w:rsid w:val="004627BF"/>
    <w:rsid w:val="00481F2B"/>
    <w:rsid w:val="004A26D4"/>
    <w:rsid w:val="004A4034"/>
    <w:rsid w:val="004A6E1A"/>
    <w:rsid w:val="004B13B0"/>
    <w:rsid w:val="004E0092"/>
    <w:rsid w:val="004E19E2"/>
    <w:rsid w:val="004F17EA"/>
    <w:rsid w:val="00516F89"/>
    <w:rsid w:val="00522E02"/>
    <w:rsid w:val="00552447"/>
    <w:rsid w:val="00562B1A"/>
    <w:rsid w:val="00593886"/>
    <w:rsid w:val="00595938"/>
    <w:rsid w:val="005A74AD"/>
    <w:rsid w:val="005C153F"/>
    <w:rsid w:val="006216FF"/>
    <w:rsid w:val="00630885"/>
    <w:rsid w:val="00631200"/>
    <w:rsid w:val="00631C90"/>
    <w:rsid w:val="00634721"/>
    <w:rsid w:val="00635D06"/>
    <w:rsid w:val="006A702E"/>
    <w:rsid w:val="006B096D"/>
    <w:rsid w:val="006C444C"/>
    <w:rsid w:val="006E4FE0"/>
    <w:rsid w:val="00702040"/>
    <w:rsid w:val="0073123C"/>
    <w:rsid w:val="007329DA"/>
    <w:rsid w:val="00782A1B"/>
    <w:rsid w:val="007920B7"/>
    <w:rsid w:val="007A42CE"/>
    <w:rsid w:val="007F3C2F"/>
    <w:rsid w:val="0082090F"/>
    <w:rsid w:val="00840313"/>
    <w:rsid w:val="00852C2D"/>
    <w:rsid w:val="00861756"/>
    <w:rsid w:val="008635B4"/>
    <w:rsid w:val="008A1533"/>
    <w:rsid w:val="008B63AA"/>
    <w:rsid w:val="008C5711"/>
    <w:rsid w:val="00913F51"/>
    <w:rsid w:val="009370DB"/>
    <w:rsid w:val="009409B1"/>
    <w:rsid w:val="00957738"/>
    <w:rsid w:val="009B2749"/>
    <w:rsid w:val="009D3E9D"/>
    <w:rsid w:val="00A05629"/>
    <w:rsid w:val="00A37A8A"/>
    <w:rsid w:val="00A57B4A"/>
    <w:rsid w:val="00A97EAE"/>
    <w:rsid w:val="00AA2D20"/>
    <w:rsid w:val="00AA5A7E"/>
    <w:rsid w:val="00AE3742"/>
    <w:rsid w:val="00AF3F8E"/>
    <w:rsid w:val="00B00A1A"/>
    <w:rsid w:val="00B3347E"/>
    <w:rsid w:val="00B40C7A"/>
    <w:rsid w:val="00B74097"/>
    <w:rsid w:val="00B90CB8"/>
    <w:rsid w:val="00BC278B"/>
    <w:rsid w:val="00BE0FB9"/>
    <w:rsid w:val="00BF1016"/>
    <w:rsid w:val="00C2097B"/>
    <w:rsid w:val="00C33697"/>
    <w:rsid w:val="00C57753"/>
    <w:rsid w:val="00C7577E"/>
    <w:rsid w:val="00C75D46"/>
    <w:rsid w:val="00C926BF"/>
    <w:rsid w:val="00CB79B7"/>
    <w:rsid w:val="00CC34E7"/>
    <w:rsid w:val="00D030D8"/>
    <w:rsid w:val="00D16292"/>
    <w:rsid w:val="00D745DF"/>
    <w:rsid w:val="00D81EA3"/>
    <w:rsid w:val="00D91EF9"/>
    <w:rsid w:val="00D9276B"/>
    <w:rsid w:val="00DC0DC6"/>
    <w:rsid w:val="00DD209E"/>
    <w:rsid w:val="00DD3683"/>
    <w:rsid w:val="00DD5B11"/>
    <w:rsid w:val="00DE3F11"/>
    <w:rsid w:val="00E177C9"/>
    <w:rsid w:val="00E360DF"/>
    <w:rsid w:val="00E57828"/>
    <w:rsid w:val="00E70664"/>
    <w:rsid w:val="00E8753F"/>
    <w:rsid w:val="00E960CA"/>
    <w:rsid w:val="00EC5506"/>
    <w:rsid w:val="00ED757B"/>
    <w:rsid w:val="00EF26D8"/>
    <w:rsid w:val="00F039EB"/>
    <w:rsid w:val="00F12C74"/>
    <w:rsid w:val="00F27482"/>
    <w:rsid w:val="00F319F0"/>
    <w:rsid w:val="00F326D2"/>
    <w:rsid w:val="00F41A7D"/>
    <w:rsid w:val="00F55BAA"/>
    <w:rsid w:val="00F56FCD"/>
    <w:rsid w:val="00F607F6"/>
    <w:rsid w:val="00F7056D"/>
    <w:rsid w:val="00F81C25"/>
    <w:rsid w:val="00F92B48"/>
    <w:rsid w:val="00F92E13"/>
    <w:rsid w:val="00FB38F4"/>
    <w:rsid w:val="00FC300D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92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7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31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8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92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7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31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8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1C68-D98F-44A7-9A70-6EF41F74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Гудкова Диана Вадимовна</cp:lastModifiedBy>
  <cp:revision>28</cp:revision>
  <cp:lastPrinted>2024-02-02T12:10:00Z</cp:lastPrinted>
  <dcterms:created xsi:type="dcterms:W3CDTF">2024-01-22T09:39:00Z</dcterms:created>
  <dcterms:modified xsi:type="dcterms:W3CDTF">2025-02-20T09:19:00Z</dcterms:modified>
</cp:coreProperties>
</file>