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09" w:rsidRPr="00872EC7" w:rsidRDefault="00872E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2EC7">
        <w:rPr>
          <w:rFonts w:ascii="Times New Roman" w:hAnsi="Times New Roman" w:cs="Times New Roman"/>
          <w:color w:val="333333"/>
          <w:sz w:val="24"/>
          <w:szCs w:val="24"/>
        </w:rPr>
        <w:t>Количество поданных заявок - </w:t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  <w:t>Участниками продажи посредством публичного предложения признаны: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. 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ИП Горбунов Дмитрий Евгеньевич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2. 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Горбунова Мария Станиславовна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5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 Движимое имущество – щебень гранитного камня, в количестве 197,531 тонн, расположенное по адресу: Великий Новгород, мкр. Кречевицы, «Угольный склад».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  <w:t>Количество поданных заявок - </w:t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 ООО "Тамерлан"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  <w:t>В связи с тем, что по результатам рассмотрения в составе заявки не был приложен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что не соответствует требованиям абзаца 4 пункта 1 статьи 16 Федерального закона «О приватизации государственного и муниципального имущества» от 21.12.2001 № 178-ФЗ и перечню документов, предоставляемых в составе заявки (пункт 6 информационного сообщения), в отношении </w:t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лота № 5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 на участие в продаже посредством публичного предложения в электронной форме не была допущена ни одна из поданных заявок. Продажа посредством публичного предложения по данному лоту в электронной форме признается несостоявшейся.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признана несостоявшейся продажа посредством публичного предложения по лотам: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1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 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расположенные по адресу: Великий Новгород, мкр. Кречевицы.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2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 - Движимое имущество - лом бортового камня, в количестве 1211,270 тонн, расположенное по адресу: Новгородская область, Новгородский муниципальный район, д. Подберезье, промышленная база ООО «СитиКом».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3 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- Движимое имущество - лом бортового камня, в количестве 1533,860 тонн, расположенное по адресу: Великий Новгород, мкр. Кречевицы, «Угольный склад».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E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4</w:t>
      </w:r>
      <w:r w:rsidRPr="00872EC7">
        <w:rPr>
          <w:rFonts w:ascii="Times New Roman" w:hAnsi="Times New Roman" w:cs="Times New Roman"/>
          <w:color w:val="333333"/>
          <w:sz w:val="24"/>
          <w:szCs w:val="24"/>
        </w:rPr>
        <w:t> - Движимое имущество - лом бортового камня, в количестве 238,975 тонн, расположенное по адресу: Великий Новгород, ул. Рабочая, д. 57, АО «СМУ-57».</w:t>
      </w:r>
      <w:bookmarkEnd w:id="0"/>
    </w:p>
    <w:sectPr w:rsidR="00B96509" w:rsidRPr="0087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C7"/>
    <w:rsid w:val="00872EC7"/>
    <w:rsid w:val="00B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2023-08-22T05:58:00Z</dcterms:created>
  <dcterms:modified xsi:type="dcterms:W3CDTF">2023-08-22T05:58:00Z</dcterms:modified>
</cp:coreProperties>
</file>