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0A" w:rsidRPr="004C080A" w:rsidRDefault="004C080A" w:rsidP="004C080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26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C080A">
        <w:rPr>
          <w:rFonts w:ascii="Times New Roman" w:hAnsi="Times New Roman"/>
          <w:iCs/>
          <w:color w:val="000000"/>
          <w:sz w:val="24"/>
          <w:szCs w:val="24"/>
        </w:rPr>
        <w:t>Замечания и  (или) предложения на проект постановления Администрации Великого Новгорода «</w:t>
      </w:r>
      <w:r w:rsidRPr="004C080A">
        <w:rPr>
          <w:rFonts w:ascii="Times New Roman" w:hAnsi="Times New Roman"/>
          <w:bCs/>
          <w:iCs/>
          <w:color w:val="000000"/>
          <w:sz w:val="24"/>
          <w:szCs w:val="24"/>
        </w:rPr>
        <w:t>Об утверждении долгосрочного прогноза социально-экономического ра</w:t>
      </w:r>
      <w:r w:rsidRPr="004C080A">
        <w:rPr>
          <w:rFonts w:ascii="Times New Roman" w:hAnsi="Times New Roman"/>
          <w:bCs/>
          <w:iCs/>
          <w:color w:val="000000"/>
          <w:sz w:val="24"/>
          <w:szCs w:val="24"/>
        </w:rPr>
        <w:t>з</w:t>
      </w:r>
      <w:r w:rsidRPr="004C080A">
        <w:rPr>
          <w:rFonts w:ascii="Times New Roman" w:hAnsi="Times New Roman"/>
          <w:bCs/>
          <w:iCs/>
          <w:color w:val="000000"/>
          <w:sz w:val="24"/>
          <w:szCs w:val="24"/>
        </w:rPr>
        <w:t>вития Великого Новгорода на период 2025-2030 годов</w:t>
      </w:r>
      <w:r w:rsidRPr="004C080A">
        <w:rPr>
          <w:rFonts w:ascii="Times New Roman" w:hAnsi="Times New Roman"/>
          <w:iCs/>
          <w:color w:val="000000"/>
          <w:sz w:val="24"/>
          <w:szCs w:val="24"/>
        </w:rPr>
        <w:t xml:space="preserve">» направлять в </w:t>
      </w:r>
      <w:proofErr w:type="gramStart"/>
      <w:r w:rsidRPr="004C080A">
        <w:rPr>
          <w:rFonts w:ascii="Times New Roman" w:hAnsi="Times New Roman"/>
          <w:iCs/>
          <w:color w:val="000000"/>
          <w:sz w:val="24"/>
          <w:szCs w:val="24"/>
          <w:lang w:val="en-US"/>
        </w:rPr>
        <w:t>c</w:t>
      </w:r>
      <w:proofErr w:type="gramEnd"/>
      <w:r w:rsidRPr="004C080A">
        <w:rPr>
          <w:rFonts w:ascii="Times New Roman" w:hAnsi="Times New Roman"/>
          <w:iCs/>
          <w:color w:val="000000"/>
          <w:sz w:val="24"/>
          <w:szCs w:val="24"/>
        </w:rPr>
        <w:t xml:space="preserve">рок с </w:t>
      </w:r>
      <w:r>
        <w:rPr>
          <w:rFonts w:ascii="Times New Roman" w:hAnsi="Times New Roman"/>
          <w:iCs/>
          <w:color w:val="000000"/>
          <w:sz w:val="24"/>
          <w:szCs w:val="24"/>
        </w:rPr>
        <w:t>05</w:t>
      </w:r>
      <w:r w:rsidRPr="004C080A">
        <w:rPr>
          <w:rFonts w:ascii="Times New Roman" w:hAnsi="Times New Roman"/>
          <w:iCs/>
          <w:color w:val="000000"/>
          <w:sz w:val="24"/>
          <w:szCs w:val="24"/>
        </w:rPr>
        <w:t>.1</w:t>
      </w:r>
      <w:r>
        <w:rPr>
          <w:rFonts w:ascii="Times New Roman" w:hAnsi="Times New Roman"/>
          <w:iCs/>
          <w:color w:val="000000"/>
          <w:sz w:val="24"/>
          <w:szCs w:val="24"/>
        </w:rPr>
        <w:t>2</w:t>
      </w:r>
      <w:r w:rsidRPr="004C080A">
        <w:rPr>
          <w:rFonts w:ascii="Times New Roman" w:hAnsi="Times New Roman"/>
          <w:iCs/>
          <w:color w:val="000000"/>
          <w:sz w:val="24"/>
          <w:szCs w:val="24"/>
        </w:rPr>
        <w:t xml:space="preserve">.2024г. по </w:t>
      </w:r>
      <w:r>
        <w:rPr>
          <w:rFonts w:ascii="Times New Roman" w:hAnsi="Times New Roman"/>
          <w:iCs/>
          <w:color w:val="000000"/>
          <w:sz w:val="24"/>
          <w:szCs w:val="24"/>
        </w:rPr>
        <w:t>15</w:t>
      </w:r>
      <w:r w:rsidRPr="004C080A">
        <w:rPr>
          <w:rFonts w:ascii="Times New Roman" w:hAnsi="Times New Roman"/>
          <w:iCs/>
          <w:color w:val="000000"/>
          <w:sz w:val="24"/>
          <w:szCs w:val="24"/>
        </w:rPr>
        <w:t>.1</w:t>
      </w:r>
      <w:r>
        <w:rPr>
          <w:rFonts w:ascii="Times New Roman" w:hAnsi="Times New Roman"/>
          <w:iCs/>
          <w:color w:val="000000"/>
          <w:sz w:val="24"/>
          <w:szCs w:val="24"/>
        </w:rPr>
        <w:t>2</w:t>
      </w:r>
      <w:r w:rsidRPr="004C080A">
        <w:rPr>
          <w:rFonts w:ascii="Times New Roman" w:hAnsi="Times New Roman"/>
          <w:iCs/>
          <w:color w:val="000000"/>
          <w:sz w:val="24"/>
          <w:szCs w:val="24"/>
        </w:rPr>
        <w:t xml:space="preserve">.2024г. на электронный адрес: </w:t>
      </w:r>
      <w:proofErr w:type="spellStart"/>
      <w:r w:rsidRPr="004C080A">
        <w:rPr>
          <w:rFonts w:ascii="Times New Roman" w:hAnsi="Times New Roman"/>
          <w:iCs/>
          <w:color w:val="000000"/>
          <w:sz w:val="24"/>
          <w:szCs w:val="24"/>
          <w:lang w:val="en-US"/>
        </w:rPr>
        <w:t>rtv</w:t>
      </w:r>
      <w:proofErr w:type="spellEnd"/>
      <w:r w:rsidRPr="004C080A">
        <w:rPr>
          <w:rFonts w:ascii="Times New Roman" w:hAnsi="Times New Roman"/>
          <w:iCs/>
          <w:color w:val="000000"/>
          <w:sz w:val="24"/>
          <w:szCs w:val="24"/>
        </w:rPr>
        <w:t>@</w:t>
      </w:r>
      <w:proofErr w:type="spellStart"/>
      <w:r w:rsidRPr="004C080A">
        <w:rPr>
          <w:rFonts w:ascii="Times New Roman" w:hAnsi="Times New Roman"/>
          <w:iCs/>
          <w:color w:val="000000"/>
          <w:sz w:val="24"/>
          <w:szCs w:val="24"/>
          <w:lang w:val="en-US"/>
        </w:rPr>
        <w:t>adm</w:t>
      </w:r>
      <w:proofErr w:type="spellEnd"/>
      <w:r w:rsidRPr="004C080A">
        <w:rPr>
          <w:rFonts w:ascii="Times New Roman" w:hAnsi="Times New Roman"/>
          <w:iCs/>
          <w:color w:val="000000"/>
          <w:sz w:val="24"/>
          <w:szCs w:val="24"/>
        </w:rPr>
        <w:t>.</w:t>
      </w:r>
      <w:proofErr w:type="spellStart"/>
      <w:r w:rsidRPr="004C080A">
        <w:rPr>
          <w:rFonts w:ascii="Times New Roman" w:hAnsi="Times New Roman"/>
          <w:iCs/>
          <w:color w:val="000000"/>
          <w:sz w:val="24"/>
          <w:szCs w:val="24"/>
          <w:lang w:val="en-US"/>
        </w:rPr>
        <w:t>nov</w:t>
      </w:r>
      <w:proofErr w:type="spellEnd"/>
      <w:r w:rsidRPr="004C080A">
        <w:rPr>
          <w:rFonts w:ascii="Times New Roman" w:hAnsi="Times New Roman"/>
          <w:iCs/>
          <w:color w:val="000000"/>
          <w:sz w:val="24"/>
          <w:szCs w:val="24"/>
        </w:rPr>
        <w:t>.</w:t>
      </w:r>
      <w:proofErr w:type="spellStart"/>
      <w:r w:rsidRPr="004C080A">
        <w:rPr>
          <w:rFonts w:ascii="Times New Roman" w:hAnsi="Times New Roman"/>
          <w:iCs/>
          <w:color w:val="000000"/>
          <w:sz w:val="24"/>
          <w:szCs w:val="24"/>
          <w:lang w:val="en-US"/>
        </w:rPr>
        <w:t>ru</w:t>
      </w:r>
      <w:bookmarkStart w:id="0" w:name="_GoBack"/>
      <w:bookmarkEnd w:id="0"/>
      <w:proofErr w:type="spellEnd"/>
    </w:p>
    <w:p w:rsidR="004C080A" w:rsidRDefault="004C080A" w:rsidP="003548B6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548B6" w:rsidRPr="003548B6" w:rsidRDefault="003548B6" w:rsidP="003548B6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ms Rmn" w:eastAsia="Times New Roman" w:hAnsi="Tms Rmn" w:cs="Times New Roman"/>
          <w:sz w:val="24"/>
          <w:szCs w:val="24"/>
          <w:lang w:eastAsia="ru-RU"/>
        </w:rPr>
      </w:pPr>
      <w:r w:rsidRPr="003548B6">
        <w:rPr>
          <w:rFonts w:ascii="Tms Rmn" w:eastAsia="Times New Roman" w:hAnsi="Tms Rmn" w:cs="Times New Roman"/>
          <w:noProof/>
          <w:sz w:val="24"/>
          <w:szCs w:val="24"/>
          <w:lang w:eastAsia="ru-RU"/>
        </w:rPr>
        <w:drawing>
          <wp:inline distT="0" distB="0" distL="0" distR="0" wp14:anchorId="2E85407E" wp14:editId="4907F398">
            <wp:extent cx="6858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8B6">
        <w:rPr>
          <w:rFonts w:ascii="Tms Rmn" w:eastAsia="Times New Roman" w:hAnsi="Tms Rmn" w:cs="Times New Roman"/>
          <w:sz w:val="24"/>
          <w:szCs w:val="24"/>
          <w:lang w:eastAsia="ru-RU"/>
        </w:rPr>
        <w:t xml:space="preserve"> </w:t>
      </w:r>
    </w:p>
    <w:p w:rsidR="003548B6" w:rsidRPr="003548B6" w:rsidRDefault="003548B6" w:rsidP="003548B6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548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Новгородская область</w:t>
      </w:r>
    </w:p>
    <w:p w:rsidR="003548B6" w:rsidRPr="003548B6" w:rsidRDefault="003548B6" w:rsidP="003548B6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548B6" w:rsidRPr="003548B6" w:rsidRDefault="003548B6" w:rsidP="003548B6">
      <w:pPr>
        <w:widowControl w:val="0"/>
        <w:autoSpaceDE w:val="0"/>
        <w:autoSpaceDN w:val="0"/>
        <w:adjustRightInd w:val="0"/>
        <w:spacing w:after="120" w:line="240" w:lineRule="auto"/>
        <w:ind w:left="-1701" w:right="-85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548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Администрация Великого Новгорода</w:t>
      </w:r>
    </w:p>
    <w:p w:rsidR="003548B6" w:rsidRPr="003548B6" w:rsidRDefault="003548B6" w:rsidP="003548B6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548B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ПРОЕКТ</w:t>
      </w:r>
    </w:p>
    <w:p w:rsidR="003548B6" w:rsidRPr="003548B6" w:rsidRDefault="003548B6" w:rsidP="003548B6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proofErr w:type="gramStart"/>
      <w:r w:rsidRPr="003548B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</w:t>
      </w:r>
      <w:proofErr w:type="gramEnd"/>
      <w:r w:rsidRPr="003548B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О С Т А Н О В Л Е Н И Е</w:t>
      </w:r>
    </w:p>
    <w:p w:rsidR="003548B6" w:rsidRPr="003548B6" w:rsidRDefault="003548B6" w:rsidP="003548B6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40"/>
          <w:lang w:eastAsia="ru-RU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6"/>
        <w:gridCol w:w="3567"/>
        <w:gridCol w:w="2527"/>
      </w:tblGrid>
      <w:tr w:rsidR="003548B6" w:rsidRPr="003548B6" w:rsidTr="00347904">
        <w:tc>
          <w:tcPr>
            <w:tcW w:w="1536" w:type="dxa"/>
          </w:tcPr>
          <w:p w:rsidR="003548B6" w:rsidRPr="003548B6" w:rsidRDefault="003548B6" w:rsidP="003548B6">
            <w:pPr>
              <w:keepNext/>
              <w:keepLines/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1" w:name="дата"/>
            <w:bookmarkEnd w:id="1"/>
          </w:p>
        </w:tc>
        <w:tc>
          <w:tcPr>
            <w:tcW w:w="3567" w:type="dxa"/>
          </w:tcPr>
          <w:p w:rsidR="003548B6" w:rsidRPr="003548B6" w:rsidRDefault="003548B6" w:rsidP="003548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3548B6" w:rsidRPr="003548B6" w:rsidRDefault="003548B6" w:rsidP="003548B6">
            <w:pPr>
              <w:keepNext/>
              <w:keepLines/>
              <w:widowControl w:val="0"/>
              <w:tabs>
                <w:tab w:val="left" w:pos="1890"/>
                <w:tab w:val="left" w:pos="9898"/>
                <w:tab w:val="left" w:pos="10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48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bookmarkStart w:id="2" w:name="номер"/>
            <w:bookmarkEnd w:id="2"/>
          </w:p>
        </w:tc>
      </w:tr>
    </w:tbl>
    <w:p w:rsidR="003548B6" w:rsidRPr="003548B6" w:rsidRDefault="003548B6" w:rsidP="003548B6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548B6" w:rsidRPr="003548B6" w:rsidRDefault="003548B6" w:rsidP="003548B6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48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Великий Новгород</w:t>
      </w:r>
    </w:p>
    <w:p w:rsidR="003548B6" w:rsidRPr="003548B6" w:rsidRDefault="003548B6" w:rsidP="003548B6">
      <w:pPr>
        <w:widowControl w:val="0"/>
        <w:autoSpaceDE w:val="0"/>
        <w:autoSpaceDN w:val="0"/>
        <w:adjustRightInd w:val="0"/>
        <w:spacing w:after="0" w:line="240" w:lineRule="auto"/>
        <w:ind w:left="26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1907" w:type="dxa"/>
        <w:tblInd w:w="-170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83"/>
        <w:gridCol w:w="7142"/>
        <w:gridCol w:w="2382"/>
      </w:tblGrid>
      <w:tr w:rsidR="003548B6" w:rsidRPr="003548B6" w:rsidTr="00347904">
        <w:tc>
          <w:tcPr>
            <w:tcW w:w="2552" w:type="dxa"/>
          </w:tcPr>
          <w:p w:rsidR="003548B6" w:rsidRPr="003548B6" w:rsidRDefault="003548B6" w:rsidP="003548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3" w:type="dxa"/>
          </w:tcPr>
          <w:p w:rsidR="003548B6" w:rsidRPr="003548B6" w:rsidRDefault="003548B6" w:rsidP="003548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54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 утверждении долгосрочного прогноза социально-экономического развития Великого Новгорода на период 2025-2030 годов</w:t>
            </w:r>
          </w:p>
        </w:tc>
        <w:tc>
          <w:tcPr>
            <w:tcW w:w="2552" w:type="dxa"/>
          </w:tcPr>
          <w:p w:rsidR="003548B6" w:rsidRPr="003548B6" w:rsidRDefault="003548B6" w:rsidP="003548B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548B6" w:rsidRPr="003548B6" w:rsidRDefault="003548B6" w:rsidP="003548B6">
      <w:pPr>
        <w:widowControl w:val="0"/>
        <w:autoSpaceDE w:val="0"/>
        <w:autoSpaceDN w:val="0"/>
        <w:adjustRightInd w:val="0"/>
        <w:spacing w:after="0" w:line="240" w:lineRule="auto"/>
        <w:ind w:left="26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548B6" w:rsidRPr="003548B6" w:rsidRDefault="003548B6" w:rsidP="003548B6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548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Положением о стратегическом планировании в Великом Новгороде, утвержденным решением Думы Великого Новгорода от 03.11.2015 № 636, постановлением Администрации Великого Новгорода от 30.12.2015 № 5549 «Об утверждении Порядка разработки, корректировки, осуществления монитори</w:t>
      </w:r>
      <w:r w:rsidRPr="003548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3548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га и контроля реализации прогноза социально-экономического развития Великого Новгорода на долгосрочный и среднесрочный периоды» Администрация Великого Новгорода </w:t>
      </w:r>
      <w:r w:rsidRPr="003548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постановляет:</w:t>
      </w:r>
    </w:p>
    <w:p w:rsidR="003548B6" w:rsidRPr="003548B6" w:rsidRDefault="003548B6" w:rsidP="003548B6">
      <w:pPr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48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представленный долгосрочный прогноз социально-экономического развития Великого Новгорода на период 2025-2030 годов.</w:t>
      </w:r>
    </w:p>
    <w:p w:rsidR="003548B6" w:rsidRPr="003548B6" w:rsidRDefault="003548B6" w:rsidP="003548B6">
      <w:pPr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48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Признать утратившим силу постановление Администрации Великого Но</w:t>
      </w:r>
      <w:r w:rsidRPr="003548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3548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города от 22.12.2021 № 6636 «Об утверждении </w:t>
      </w:r>
      <w:r w:rsidRPr="003548B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долгосрочного прогноза социально-экономического развития Великого Новгорода на период 2022-2030 годов».</w:t>
      </w:r>
    </w:p>
    <w:p w:rsidR="003548B6" w:rsidRPr="003548B6" w:rsidRDefault="003548B6" w:rsidP="003548B6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548B6" w:rsidRPr="003548B6" w:rsidRDefault="003548B6" w:rsidP="003548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8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подготовил и завизировал:</w:t>
      </w:r>
    </w:p>
    <w:p w:rsidR="003548B6" w:rsidRPr="003548B6" w:rsidRDefault="003548B6" w:rsidP="003548B6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548B6" w:rsidRPr="003548B6" w:rsidRDefault="003548B6" w:rsidP="003548B6">
      <w:pPr>
        <w:keepLines/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548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Председатель комитета экономического развития</w:t>
      </w:r>
    </w:p>
    <w:p w:rsidR="003548B6" w:rsidRPr="003548B6" w:rsidRDefault="003548B6" w:rsidP="003548B6">
      <w:pPr>
        <w:keepLines/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548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 инвестиций Администрации Великого Новгорода</w:t>
      </w:r>
      <w:r w:rsidRPr="003548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3548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3548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  <w:t xml:space="preserve">Д.А. </w:t>
      </w:r>
      <w:proofErr w:type="spellStart"/>
      <w:r w:rsidRPr="003548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Гугнин</w:t>
      </w:r>
      <w:proofErr w:type="spellEnd"/>
      <w:r w:rsidRPr="003548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3548B6" w:rsidRPr="003548B6" w:rsidRDefault="003548B6" w:rsidP="003548B6">
      <w:pPr>
        <w:keepLines/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548B6" w:rsidRPr="003548B6" w:rsidRDefault="003548B6" w:rsidP="003548B6">
      <w:pPr>
        <w:keepLines/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548B6" w:rsidRPr="003548B6" w:rsidRDefault="003548B6" w:rsidP="003548B6">
      <w:pPr>
        <w:keepLines/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548B6" w:rsidRPr="003548B6" w:rsidRDefault="003548B6" w:rsidP="003548B6">
      <w:pPr>
        <w:keepLines/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sectPr w:rsidR="003548B6" w:rsidRPr="003548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7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3"/>
        <w:gridCol w:w="12"/>
        <w:gridCol w:w="1971"/>
        <w:gridCol w:w="1278"/>
        <w:gridCol w:w="1420"/>
        <w:gridCol w:w="708"/>
        <w:gridCol w:w="709"/>
        <w:gridCol w:w="1418"/>
        <w:gridCol w:w="1417"/>
        <w:gridCol w:w="284"/>
        <w:gridCol w:w="1134"/>
        <w:gridCol w:w="992"/>
        <w:gridCol w:w="425"/>
        <w:gridCol w:w="1418"/>
        <w:gridCol w:w="283"/>
        <w:gridCol w:w="1134"/>
        <w:gridCol w:w="103"/>
        <w:gridCol w:w="1173"/>
        <w:gridCol w:w="102"/>
        <w:gridCol w:w="236"/>
        <w:gridCol w:w="236"/>
        <w:gridCol w:w="236"/>
        <w:gridCol w:w="236"/>
      </w:tblGrid>
      <w:tr w:rsidR="00347904" w:rsidRPr="00347904" w:rsidTr="00CE29D2">
        <w:trPr>
          <w:gridAfter w:val="4"/>
          <w:wAfter w:w="944" w:type="dxa"/>
          <w:trHeight w:val="525"/>
        </w:trPr>
        <w:tc>
          <w:tcPr>
            <w:tcW w:w="164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Долгосрочный прогноз социально-экономического развития  Великого Новгорода</w:t>
            </w:r>
          </w:p>
        </w:tc>
      </w:tr>
      <w:tr w:rsidR="00347904" w:rsidRPr="00347904" w:rsidTr="00CE29D2">
        <w:trPr>
          <w:gridAfter w:val="4"/>
          <w:wAfter w:w="944" w:type="dxa"/>
          <w:trHeight w:val="360"/>
        </w:trPr>
        <w:tc>
          <w:tcPr>
            <w:tcW w:w="164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период 2025-2030 годов</w:t>
            </w:r>
          </w:p>
        </w:tc>
      </w:tr>
      <w:tr w:rsidR="00C62A66" w:rsidRPr="00347904" w:rsidTr="00CE29D2">
        <w:trPr>
          <w:trHeight w:val="119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6C21E8">
            <w:pPr>
              <w:spacing w:after="0" w:line="240" w:lineRule="auto"/>
              <w:ind w:right="17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4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</w:tr>
      <w:tr w:rsidR="00C62A66" w:rsidRPr="00347904" w:rsidTr="00CE29D2">
        <w:trPr>
          <w:gridAfter w:val="4"/>
          <w:wAfter w:w="944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C62A66" w:rsidRPr="00347904" w:rsidTr="00CE29D2">
        <w:trPr>
          <w:gridAfter w:val="4"/>
          <w:wAfter w:w="944" w:type="dxa"/>
          <w:trHeight w:val="94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вариант (</w:t>
            </w:r>
            <w:proofErr w:type="spellStart"/>
            <w:proofErr w:type="gramStart"/>
            <w:r w:rsidRPr="0034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консерва-тивный</w:t>
            </w:r>
            <w:proofErr w:type="spellEnd"/>
            <w:proofErr w:type="gramEnd"/>
            <w:r w:rsidRPr="0034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вариант (базовый)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вариант (</w:t>
            </w:r>
            <w:proofErr w:type="spellStart"/>
            <w:proofErr w:type="gramStart"/>
            <w:r w:rsidRPr="0034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консерва-тивный</w:t>
            </w:r>
            <w:proofErr w:type="spellEnd"/>
            <w:proofErr w:type="gramEnd"/>
            <w:r w:rsidRPr="0034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вариант (базовый)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вариант (</w:t>
            </w:r>
            <w:proofErr w:type="spellStart"/>
            <w:proofErr w:type="gramStart"/>
            <w:r w:rsidRPr="0034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консерва-тивный</w:t>
            </w:r>
            <w:proofErr w:type="spellEnd"/>
            <w:proofErr w:type="gramEnd"/>
            <w:r w:rsidRPr="0034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вариант (базовый)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4C080A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(в среднегодовом исчислении)</w:t>
            </w:r>
          </w:p>
          <w:p w:rsidR="00C62A66" w:rsidRPr="004C080A" w:rsidRDefault="00C62A66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220,27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226,27</w:t>
            </w:r>
          </w:p>
        </w:tc>
      </w:tr>
      <w:tr w:rsidR="00C62A66" w:rsidRPr="00347904" w:rsidTr="00CE29D2">
        <w:trPr>
          <w:gridAfter w:val="4"/>
          <w:wAfter w:w="944" w:type="dxa"/>
          <w:trHeight w:val="630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коэфф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циент рожда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дившихся на 1000 человек населения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6,94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7,08</w:t>
            </w:r>
          </w:p>
        </w:tc>
      </w:tr>
      <w:tr w:rsidR="00C62A66" w:rsidRPr="00347904" w:rsidTr="00CE29D2">
        <w:trPr>
          <w:gridAfter w:val="4"/>
          <w:wAfter w:w="944" w:type="dxa"/>
          <w:trHeight w:val="630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коэфф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циент смертн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умерших на 1000 человек населения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13,98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12,81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естественного прироста нас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  <w:p w:rsidR="00C62A66" w:rsidRPr="00C62A66" w:rsidRDefault="00C62A66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1000 человек населения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-7,03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-5,73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 (убыль)</w:t>
            </w:r>
          </w:p>
          <w:p w:rsidR="00C62A66" w:rsidRPr="00C62A66" w:rsidRDefault="00C62A66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0,626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0,656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женной проду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(работ</w:t>
            </w:r>
            <w:proofErr w:type="gramStart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слуг)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253 869,58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214 614,51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247 296,04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252 736,55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257 682,47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258 296,76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268 505,14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263 979,29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279 782,35</w:t>
            </w:r>
          </w:p>
        </w:tc>
      </w:tr>
      <w:tr w:rsidR="00C62A66" w:rsidRPr="00347904" w:rsidTr="00CE29D2">
        <w:trPr>
          <w:gridAfter w:val="4"/>
          <w:wAfter w:w="944" w:type="dxa"/>
          <w:trHeight w:val="630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мышленного производства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дущему году в с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ц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Обрабатыва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щие произво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ства (раздел С)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234 176,52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193 330,05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224 942,37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229 891,10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234 389,95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234 948,71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244 234,33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240 117,58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254 492,17</w:t>
            </w:r>
          </w:p>
        </w:tc>
      </w:tr>
      <w:tr w:rsidR="00C62A66" w:rsidRPr="00347904" w:rsidTr="00CE29D2">
        <w:trPr>
          <w:gridAfter w:val="4"/>
          <w:wAfter w:w="944" w:type="dxa"/>
          <w:trHeight w:val="630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водства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дущему году в с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ц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</w:tr>
      <w:tr w:rsidR="00C62A66" w:rsidRPr="00347904" w:rsidTr="00CE29D2">
        <w:trPr>
          <w:gridAfter w:val="4"/>
          <w:wAfter w:w="944" w:type="dxa"/>
          <w:trHeight w:val="630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электрической энергией, газом и паром; конд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ционирование воздуха (раздел D)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17 703,88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19 134,64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20 090,23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20 532,22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20 934,02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20 983,92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21 813,25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21 445,57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22 729,41</w:t>
            </w:r>
          </w:p>
        </w:tc>
      </w:tr>
      <w:tr w:rsidR="00C62A66" w:rsidRPr="00347904" w:rsidTr="00CE29D2">
        <w:trPr>
          <w:gridAfter w:val="4"/>
          <w:wAfter w:w="944" w:type="dxa"/>
          <w:trHeight w:val="630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водства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дущему году в с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ц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C62A66" w:rsidRPr="00347904" w:rsidTr="00CE29D2">
        <w:trPr>
          <w:gridAfter w:val="4"/>
          <w:wAfter w:w="944" w:type="dxa"/>
          <w:trHeight w:val="630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4C080A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Водоснабж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ние; водоотв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дение, орган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зация сбора и утилизации отходов, де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тельность по ликвидации з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грязнений (ра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дел Е)</w:t>
            </w:r>
          </w:p>
          <w:p w:rsidR="00C62A66" w:rsidRPr="004C080A" w:rsidRDefault="00C62A66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1 989,18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2 313,24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2 457,56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2 416,14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2 560,78</w:t>
            </w:r>
          </w:p>
        </w:tc>
      </w:tr>
      <w:tr w:rsidR="00C62A66" w:rsidRPr="00347904" w:rsidTr="00CE29D2">
        <w:trPr>
          <w:gridAfter w:val="4"/>
          <w:wAfter w:w="944" w:type="dxa"/>
          <w:trHeight w:val="630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водства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4C080A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дущему году в с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ц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</w:t>
            </w:r>
          </w:p>
          <w:p w:rsidR="00C62A66" w:rsidRPr="004C080A" w:rsidRDefault="00C62A66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A66" w:rsidRPr="00347904" w:rsidTr="00CE29D2">
        <w:trPr>
          <w:gridAfter w:val="4"/>
          <w:wAfter w:w="944" w:type="dxa"/>
          <w:trHeight w:val="630"/>
        </w:trPr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4C080A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работ, выполненных по виду деятельн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"Строител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ство"</w:t>
            </w:r>
          </w:p>
          <w:p w:rsidR="00C62A66" w:rsidRPr="004C080A" w:rsidRDefault="00C62A66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4C080A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ценах соотве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ствующих лет; млн. руб.</w:t>
            </w:r>
          </w:p>
          <w:p w:rsidR="00C62A66" w:rsidRPr="004C080A" w:rsidRDefault="00C62A66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9 502,39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11 274,57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12 236,07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12 815,69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13 128,03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13 475,29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14 086,46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14 168,83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15 000,04</w:t>
            </w:r>
          </w:p>
        </w:tc>
      </w:tr>
      <w:tr w:rsidR="00C62A66" w:rsidRPr="00347904" w:rsidTr="00CE29D2">
        <w:trPr>
          <w:gridAfter w:val="4"/>
          <w:wAfter w:w="944" w:type="dxa"/>
          <w:trHeight w:val="915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4C080A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объема работ, выпо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ненных по виду деятельности "Строительство"</w:t>
            </w:r>
          </w:p>
          <w:p w:rsidR="00C62A66" w:rsidRPr="004C080A" w:rsidRDefault="00C62A66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4C080A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дущему году в с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ц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</w:t>
            </w:r>
          </w:p>
          <w:p w:rsidR="00C62A66" w:rsidRPr="004C080A" w:rsidRDefault="00C62A66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101,90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жилых домов</w:t>
            </w:r>
          </w:p>
          <w:p w:rsidR="00C62A66" w:rsidRPr="00C62A66" w:rsidRDefault="00C62A66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м. в общей площади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3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Торговля и услуги насел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A66" w:rsidRPr="00347904" w:rsidTr="00CE29D2">
        <w:trPr>
          <w:gridAfter w:val="4"/>
          <w:wAfter w:w="944" w:type="dxa"/>
          <w:trHeight w:val="630"/>
        </w:trPr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 потр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бительских цен на конец года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д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кабрю пред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дущего года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 потр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бительских цен в среднем за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торговли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87 396,74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107 992,10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117 025,10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118 042,20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125 598,40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127 796,90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134 801,10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137 160,70</w:t>
            </w:r>
          </w:p>
        </w:tc>
      </w:tr>
      <w:tr w:rsidR="00C62A66" w:rsidRPr="00347904" w:rsidTr="00CE29D2">
        <w:trPr>
          <w:gridAfter w:val="4"/>
          <w:wAfter w:w="944" w:type="dxa"/>
          <w:trHeight w:val="630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объема оборота розни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торговли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дущему году в с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ц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платных услуг населению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23 667,40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26 284,89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28 580,40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31 031,17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31 300,83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32 878,39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33 232,71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35 243,29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35 251,80</w:t>
            </w:r>
          </w:p>
        </w:tc>
      </w:tr>
      <w:tr w:rsidR="00C62A66" w:rsidRPr="00347904" w:rsidTr="00CE29D2">
        <w:trPr>
          <w:gridAfter w:val="4"/>
          <w:wAfter w:w="944" w:type="dxa"/>
          <w:trHeight w:val="630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об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 платных услуг населению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дущему году в с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ц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Внешнеэкон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мическая де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Экспорт товаров</w:t>
            </w:r>
          </w:p>
          <w:p w:rsidR="00C62A66" w:rsidRPr="00C62A66" w:rsidRDefault="00C62A66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долл. США</w:t>
            </w:r>
          </w:p>
          <w:p w:rsidR="00C62A66" w:rsidRPr="00C62A66" w:rsidRDefault="00C62A66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404,7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433,4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 товаров</w:t>
            </w:r>
          </w:p>
          <w:p w:rsidR="00C62A66" w:rsidRPr="00C62A66" w:rsidRDefault="00C62A66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долл. США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470,6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485,3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дальнего зарубежья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Экспорт товаров - всего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долл. США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312,6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334,9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 товаров - всего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долл. США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439,79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453,43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- участники СНГ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Экспорт товаров - всего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долл. США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 товаров - всего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долл. США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</w:tr>
      <w:tr w:rsidR="00C62A66" w:rsidRPr="00347904" w:rsidTr="00CE29D2">
        <w:trPr>
          <w:gridAfter w:val="4"/>
          <w:wAfter w:w="944" w:type="dxa"/>
          <w:trHeight w:val="630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Малое и сре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нее предпр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нимательство, включая </w:t>
            </w:r>
            <w:proofErr w:type="spellStart"/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ропредприятия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A66" w:rsidRPr="00347904" w:rsidTr="00CE29D2">
        <w:trPr>
          <w:gridAfter w:val="4"/>
          <w:wAfter w:w="944" w:type="dxa"/>
          <w:trHeight w:val="630"/>
        </w:trPr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лых и средних предприятий, включая </w:t>
            </w:r>
            <w:proofErr w:type="spellStart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  <w:proofErr w:type="spellEnd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конец года)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4 311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4 337</w:t>
            </w:r>
          </w:p>
        </w:tc>
      </w:tr>
      <w:tr w:rsidR="00C62A66" w:rsidRPr="00347904" w:rsidTr="00CE29D2">
        <w:trPr>
          <w:gridAfter w:val="4"/>
          <w:wAfter w:w="944" w:type="dxa"/>
          <w:trHeight w:val="630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численность работников м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лых и средних предприятий, включая </w:t>
            </w:r>
            <w:proofErr w:type="spellStart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  <w:proofErr w:type="spellEnd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внешних совместителей)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24,90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дивидуальных предпринимат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  <w:p w:rsidR="00C62A66" w:rsidRPr="00C62A66" w:rsidRDefault="00C62A66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6 169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6 336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малых и средних пре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приятий, вкл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чая </w:t>
            </w:r>
            <w:proofErr w:type="spellStart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млрд. руб.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108,68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28 633,74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41 134,63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39 465,40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42 650,20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43 309,50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45 318,50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46 152,10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47 332,90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48 182,80</w:t>
            </w:r>
          </w:p>
        </w:tc>
      </w:tr>
      <w:tr w:rsidR="00C62A66" w:rsidRPr="00347904" w:rsidTr="00CE29D2">
        <w:trPr>
          <w:gridAfter w:val="4"/>
          <w:wAfter w:w="944" w:type="dxa"/>
          <w:trHeight w:val="630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объема инвестиций в основной кап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дущему году в с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ц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Индекс-дефлятор инв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стиций в осно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капитал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104,40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19 332,40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29 288,60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28 100,10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30 367,70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30 837,10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32 855,90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33 460,30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34 316,40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34 932,50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средства, из них: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9 301,30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11 846,10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10 962,40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11 847,10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12 030,20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12 462,60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12 691,80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13 016,50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13 250,30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банков, в том числе: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650,80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662,50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заемные сре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других о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</w:t>
            </w:r>
          </w:p>
          <w:p w:rsidR="00C62A66" w:rsidRPr="00C62A66" w:rsidRDefault="00C62A66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390,50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397,50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4C080A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средства, в том числе:</w:t>
            </w:r>
          </w:p>
          <w:p w:rsidR="00C62A66" w:rsidRPr="004C080A" w:rsidRDefault="00C62A66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4 399,50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6 686,70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6 933,10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7 040,30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6 980,50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7 159,10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7 287,60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  <w:p w:rsidR="00C62A66" w:rsidRPr="00C62A66" w:rsidRDefault="00C62A66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3 116,20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3 164,30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3 350,60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3 436,40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3 498,10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суб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Росси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2 935,20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2 987,90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местных бюджетов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1 033,90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1 049,90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787,50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801,60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3 640,20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5 008,30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8 085,70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4 569,10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4 686,00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4 770,10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 и зан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347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тость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нятых</w:t>
            </w:r>
            <w:proofErr w:type="gramEnd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экон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113,8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117,9</w:t>
            </w:r>
          </w:p>
        </w:tc>
      </w:tr>
      <w:tr w:rsidR="00C62A66" w:rsidRPr="00347904" w:rsidTr="00CE29D2">
        <w:trPr>
          <w:gridAfter w:val="4"/>
          <w:wAfter w:w="944" w:type="dxa"/>
          <w:trHeight w:val="630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начисленная среднемесячная заработная плата работников о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47 661,30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54 454,60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62 404,70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67 268,50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67 417,10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71 486,20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72 498,00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75 485,20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77 070,80</w:t>
            </w:r>
          </w:p>
        </w:tc>
      </w:tr>
      <w:tr w:rsidR="00C62A66" w:rsidRPr="00347904" w:rsidTr="00CE29D2">
        <w:trPr>
          <w:gridAfter w:val="4"/>
          <w:wAfter w:w="944" w:type="dxa"/>
          <w:trHeight w:val="630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н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минальной начисленной среднемесячной заработной пл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работников организаций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106,3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зарег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стрированной безработицы (на конец года)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C62A66" w:rsidRPr="00347904" w:rsidTr="00CE29D2">
        <w:trPr>
          <w:gridAfter w:val="4"/>
          <w:wAfter w:w="944" w:type="dxa"/>
          <w:trHeight w:val="630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безработных, зарегистрир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ванных в  гос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учреждениях службы занят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населения 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 конец года)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чел.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62A66" w:rsidRPr="00347904" w:rsidTr="00CE29D2">
        <w:trPr>
          <w:gridAfter w:val="4"/>
          <w:wAfter w:w="944" w:type="dxa"/>
          <w:trHeight w:val="315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зарабо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платы р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орг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48 238,20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54 854,33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62 822,40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67 670,90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67 820,40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71 862,10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72 879,20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75 828,40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77 421,20</w:t>
            </w:r>
          </w:p>
        </w:tc>
      </w:tr>
      <w:tr w:rsidR="00C62A66" w:rsidRPr="00347904" w:rsidTr="00CE29D2">
        <w:trPr>
          <w:gridAfter w:val="4"/>
          <w:wAfter w:w="944" w:type="dxa"/>
          <w:trHeight w:val="77"/>
        </w:trPr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фо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заработной платы работн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организаций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904" w:rsidRPr="00347904" w:rsidRDefault="00347904" w:rsidP="00347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106,2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оказатели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6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</w:tr>
      <w:tr w:rsidR="00CE29D2" w:rsidRPr="00CE29D2" w:rsidTr="00CE29D2">
        <w:trPr>
          <w:gridAfter w:val="5"/>
          <w:wAfter w:w="1046" w:type="dxa"/>
          <w:trHeight w:val="45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</w:tr>
      <w:tr w:rsidR="00CE29D2" w:rsidRPr="00CE29D2" w:rsidTr="00CE29D2">
        <w:trPr>
          <w:gridAfter w:val="5"/>
          <w:wAfter w:w="1046" w:type="dxa"/>
          <w:trHeight w:val="94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вариант (</w:t>
            </w:r>
            <w:proofErr w:type="spellStart"/>
            <w:proofErr w:type="gramStart"/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серва-тивный</w:t>
            </w:r>
            <w:proofErr w:type="spellEnd"/>
            <w:proofErr w:type="gramEnd"/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вариант (баз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вариант (</w:t>
            </w:r>
            <w:proofErr w:type="spellStart"/>
            <w:proofErr w:type="gramStart"/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консерва-тивный</w:t>
            </w:r>
            <w:proofErr w:type="spellEnd"/>
            <w:proofErr w:type="gramEnd"/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вариант (баз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вый)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вариант (</w:t>
            </w:r>
            <w:proofErr w:type="spellStart"/>
            <w:proofErr w:type="gramStart"/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серва-тивный</w:t>
            </w:r>
            <w:proofErr w:type="spellEnd"/>
            <w:proofErr w:type="gramEnd"/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вариант (баз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вый)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(в среднегодовом исчислении)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219,62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218,93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229,64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218,24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231,27</w:t>
            </w:r>
          </w:p>
        </w:tc>
      </w:tr>
      <w:tr w:rsidR="00CE29D2" w:rsidRPr="00CE29D2" w:rsidTr="00CE29D2">
        <w:trPr>
          <w:gridAfter w:val="5"/>
          <w:wAfter w:w="1046" w:type="dxa"/>
          <w:trHeight w:val="63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коэфф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циент рожда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дившихся на 1000 человек населения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</w:t>
            </w:r>
          </w:p>
        </w:tc>
      </w:tr>
      <w:tr w:rsidR="00CE29D2" w:rsidRPr="00CE29D2" w:rsidTr="00CE29D2">
        <w:trPr>
          <w:gridAfter w:val="5"/>
          <w:wAfter w:w="1046" w:type="dxa"/>
          <w:trHeight w:val="63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коэфф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циент смертн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умерших на 1000 человек населения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12,35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естественного прироста нас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1000 человек населения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-7,27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-5,38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Миграционный 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прирост (убыль)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чел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0,767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женной проду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(работ</w:t>
            </w:r>
            <w:proofErr w:type="gramStart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слуг)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273 467,83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295 510,93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282 666,14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311 287,94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291 518,93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327 319,53</w:t>
            </w:r>
          </w:p>
        </w:tc>
      </w:tr>
      <w:tr w:rsidR="00CE29D2" w:rsidRPr="00CE29D2" w:rsidTr="00CE29D2">
        <w:trPr>
          <w:gridAfter w:val="5"/>
          <w:wAfter w:w="1046" w:type="dxa"/>
          <w:trHeight w:val="63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мышленного производства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дущему году в с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ц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Обрабатыва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щие произво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ства (раздел С)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249 081,17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269 158,55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257 742,96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283 828,77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266 047,44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298 707,07</w:t>
            </w:r>
          </w:p>
        </w:tc>
      </w:tr>
      <w:tr w:rsidR="00CE29D2" w:rsidRPr="00CE29D2" w:rsidTr="00CE29D2">
        <w:trPr>
          <w:gridAfter w:val="5"/>
          <w:wAfter w:w="1046" w:type="dxa"/>
          <w:trHeight w:val="63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водства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дущему году в с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ц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</w:tr>
      <w:tr w:rsidR="00CE29D2" w:rsidRPr="00CE29D2" w:rsidTr="00CE29D2">
        <w:trPr>
          <w:gridAfter w:val="5"/>
          <w:wAfter w:w="1046" w:type="dxa"/>
          <w:trHeight w:val="63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электрической энергией, газом и паром; конд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ционирование воздуха (раздел D)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21 917,4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23 684,0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22 399,6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24 678,8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22 892,3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25 715,3</w:t>
            </w:r>
          </w:p>
        </w:tc>
      </w:tr>
      <w:tr w:rsidR="00CE29D2" w:rsidRPr="00CE29D2" w:rsidTr="00CE29D2">
        <w:trPr>
          <w:gridAfter w:val="5"/>
          <w:wAfter w:w="1046" w:type="dxa"/>
          <w:trHeight w:val="63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водства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дущему году в с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ц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101,9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CE29D2" w:rsidRPr="00CE29D2" w:rsidTr="00CE29D2">
        <w:trPr>
          <w:gridAfter w:val="5"/>
          <w:wAfter w:w="1046" w:type="dxa"/>
          <w:trHeight w:val="63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Водоснабж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ние; водоотв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дение, орган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зация сбора и утилизации отходов, де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тельность по ликвидации з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грязнений (ра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дел Е)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2 469,3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2 668,3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2 523,6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2 780,4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2 579,1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2 897,2</w:t>
            </w:r>
          </w:p>
        </w:tc>
      </w:tr>
      <w:tr w:rsidR="00CE29D2" w:rsidRPr="00CE29D2" w:rsidTr="00CE29D2">
        <w:trPr>
          <w:gridAfter w:val="5"/>
          <w:wAfter w:w="1046" w:type="dxa"/>
          <w:trHeight w:val="63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водства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дущему году в с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ц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29D2" w:rsidRPr="00CE29D2" w:rsidTr="00CE29D2">
        <w:trPr>
          <w:gridAfter w:val="5"/>
          <w:wAfter w:w="1046" w:type="dxa"/>
          <w:trHeight w:val="63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работ, выполненных по виду деятельн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"Строител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ценах соотве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ствующих лет; млн. руб.</w:t>
            </w:r>
          </w:p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14 898,07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15 972,87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15 634,30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16 975,84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16 438,97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18 076,80</w:t>
            </w:r>
          </w:p>
        </w:tc>
      </w:tr>
      <w:tr w:rsidR="00CE29D2" w:rsidRPr="00CE29D2" w:rsidTr="00CE29D2">
        <w:trPr>
          <w:gridAfter w:val="5"/>
          <w:wAfter w:w="1046" w:type="dxa"/>
          <w:trHeight w:val="91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объема работ, выпо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ненных по виду деятельности "Строительство"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дущему году в с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ц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</w:t>
            </w:r>
          </w:p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жилых домов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м. в общей площади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Торговля и услуги насел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29D2" w:rsidRPr="00CE29D2" w:rsidTr="00CE29D2">
        <w:trPr>
          <w:gridAfter w:val="5"/>
          <w:wAfter w:w="1046" w:type="dxa"/>
          <w:trHeight w:val="63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 потр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бительских цен на конец года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д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кабрю пред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дущего года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 потр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бительских цен в среднем за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торговли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143 978,36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146 783,89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153 780,41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157 234,91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164 249,78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168 430,03</w:t>
            </w:r>
          </w:p>
        </w:tc>
      </w:tr>
      <w:tr w:rsidR="00CE29D2" w:rsidRPr="00CE29D2" w:rsidTr="00CE29D2">
        <w:trPr>
          <w:gridAfter w:val="5"/>
          <w:wAfter w:w="1046" w:type="dxa"/>
          <w:trHeight w:val="63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объема оборота розни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торговли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дущему году в с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ц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платных услуг населению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37 375,51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37 321,79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39 636,73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39 202,81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42 034,75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41 504,79</w:t>
            </w:r>
          </w:p>
        </w:tc>
      </w:tr>
      <w:tr w:rsidR="00CE29D2" w:rsidRPr="00CE29D2" w:rsidTr="00CE29D2">
        <w:trPr>
          <w:gridAfter w:val="5"/>
          <w:wAfter w:w="1046" w:type="dxa"/>
          <w:trHeight w:val="63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об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 платных услуг населению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дущему году в с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ц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Внешнеэкон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мическая де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Экспорт товаров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долл. США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465,4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 товаров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долл. США</w:t>
            </w:r>
          </w:p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531,8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дальнего зарубежья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Экспорт товаров - всего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долл. США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359,2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 товаров - всего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долл. США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453,43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467,48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481,97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481,97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496,91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- участники СНГ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Экспорт товаров - всего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долл. США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106,2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 товаров - всего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долл. США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</w:tr>
      <w:tr w:rsidR="00CE29D2" w:rsidRPr="00CE29D2" w:rsidTr="00CE29D2">
        <w:trPr>
          <w:gridAfter w:val="5"/>
          <w:wAfter w:w="1046" w:type="dxa"/>
          <w:trHeight w:val="63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Малое и сре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нее предприн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мательство, включая </w:t>
            </w:r>
            <w:proofErr w:type="spellStart"/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ропредприятия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29D2" w:rsidRPr="00CE29D2" w:rsidTr="00CE29D2">
        <w:trPr>
          <w:gridAfter w:val="5"/>
          <w:wAfter w:w="1046" w:type="dxa"/>
          <w:trHeight w:val="63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лых и средних предприятий, включая </w:t>
            </w:r>
            <w:proofErr w:type="spellStart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  <w:proofErr w:type="spellEnd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конец года)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4 389</w:t>
            </w:r>
          </w:p>
        </w:tc>
      </w:tr>
      <w:tr w:rsidR="00CE29D2" w:rsidRPr="00CE29D2" w:rsidTr="00CE29D2">
        <w:trPr>
          <w:gridAfter w:val="5"/>
          <w:wAfter w:w="1046" w:type="dxa"/>
          <w:trHeight w:val="63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численность работников м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лых и средних предприятий, включая </w:t>
            </w:r>
            <w:proofErr w:type="spellStart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  <w:proofErr w:type="spellEnd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внешних совместителей)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дивидуальных предпринимат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6 526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малых и средних пре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приятий, вкл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чая </w:t>
            </w:r>
            <w:proofErr w:type="spellStart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млрд. руб. 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109,21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112,31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49 984,40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50 232,20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51 451,50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52 262,90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53 423,20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54 210,90</w:t>
            </w:r>
          </w:p>
        </w:tc>
      </w:tr>
      <w:tr w:rsidR="00CE29D2" w:rsidRPr="00CE29D2" w:rsidTr="00CE29D2">
        <w:trPr>
          <w:gridAfter w:val="5"/>
          <w:wAfter w:w="1046" w:type="dxa"/>
          <w:trHeight w:val="63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объема инвестиций в основной кап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дущему году в с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ц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Индекс-дефлятор инв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стиций в осно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капитал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105,20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36 238,70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36 418,30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37 302,30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37 890,60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38 731,80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39 302,90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средства, из них: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13 745,70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13 813,80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14 149,20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14 372,30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14 691,40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14 908,00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банков, в том числе: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687,30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718,60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734,60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745,40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заемные сре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других о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</w:t>
            </w:r>
          </w:p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412,40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440,70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447,20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средства, в том числе:</w:t>
            </w:r>
          </w:p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7 560,10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7 597,60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7 782,00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7 904,80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8 080,30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8 199,40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3 628,90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3 646,90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3 735,40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3 794,30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3 878,50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3 935,70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суб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Росси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3 099,70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3 190,60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3 241,00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3 312,90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3 361,80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местных бюджетов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831,60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869,50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888,80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901,90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4 948,50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5 093,70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5 174,00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5 288,90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5 366,90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 и зан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CE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тость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нятых</w:t>
            </w:r>
            <w:proofErr w:type="gramEnd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экон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</w:tr>
      <w:tr w:rsidR="00CE29D2" w:rsidRPr="00CE29D2" w:rsidTr="00CE29D2">
        <w:trPr>
          <w:gridAfter w:val="5"/>
          <w:wAfter w:w="1046" w:type="dxa"/>
          <w:trHeight w:val="63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начисленная среднемесячная заработная плата работников о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78 882,03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81 309,69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82 431,73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85 781,73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86 141,15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90 499,72</w:t>
            </w:r>
          </w:p>
        </w:tc>
      </w:tr>
      <w:tr w:rsidR="00CE29D2" w:rsidRPr="00CE29D2" w:rsidTr="00CE29D2">
        <w:trPr>
          <w:gridAfter w:val="5"/>
          <w:wAfter w:w="1046" w:type="dxa"/>
          <w:trHeight w:val="63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н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минальной начисленной среднемесячной заработной пл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работников организаций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зарег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стрированной безработицы (на конец года)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CE29D2" w:rsidRPr="00CE29D2" w:rsidTr="00CE29D2">
        <w:trPr>
          <w:gridAfter w:val="5"/>
          <w:wAfter w:w="1046" w:type="dxa"/>
          <w:trHeight w:val="63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безработных, зарегистрир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ванных в  гос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учреждениях службы занят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населения 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 конец года)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чел.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зарабо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платы р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орг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79 089,02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81 524,52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82 489,85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85 845,32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86 036,91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90 395,13</w:t>
            </w:r>
          </w:p>
        </w:tc>
      </w:tr>
      <w:tr w:rsidR="00CE29D2" w:rsidRPr="00CE29D2" w:rsidTr="00CE29D2">
        <w:trPr>
          <w:gridAfter w:val="5"/>
          <w:wAfter w:w="1046" w:type="dxa"/>
          <w:trHeight w:val="31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фо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заработной платы работн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организаций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9D2" w:rsidRPr="00CE29D2" w:rsidRDefault="00CE29D2" w:rsidP="00CE2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</w:tr>
    </w:tbl>
    <w:p w:rsidR="007107AA" w:rsidRDefault="007107AA" w:rsidP="00347904">
      <w:pPr>
        <w:ind w:right="-29"/>
      </w:pPr>
    </w:p>
    <w:p w:rsidR="00810066" w:rsidRDefault="00810066" w:rsidP="00347904">
      <w:pPr>
        <w:ind w:right="-29"/>
      </w:pPr>
    </w:p>
    <w:p w:rsidR="00810066" w:rsidRDefault="00810066" w:rsidP="00347904">
      <w:pPr>
        <w:ind w:right="-29"/>
      </w:pPr>
    </w:p>
    <w:p w:rsidR="00810066" w:rsidRDefault="00810066" w:rsidP="00347904">
      <w:pPr>
        <w:ind w:right="-29"/>
        <w:sectPr w:rsidR="00810066" w:rsidSect="006C21E8">
          <w:headerReference w:type="default" r:id="rId9"/>
          <w:pgSz w:w="16840" w:h="11907" w:orient="landscape" w:code="9"/>
          <w:pgMar w:top="426" w:right="1134" w:bottom="567" w:left="1134" w:header="567" w:footer="567" w:gutter="0"/>
          <w:cols w:space="720"/>
          <w:noEndnote/>
          <w:titlePg/>
          <w:docGrid w:linePitch="299"/>
        </w:sectPr>
      </w:pPr>
    </w:p>
    <w:p w:rsidR="00810066" w:rsidRPr="00810066" w:rsidRDefault="00810066" w:rsidP="00810066">
      <w:pPr>
        <w:spacing w:after="0" w:line="360" w:lineRule="atLeast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10066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810066" w:rsidRPr="00810066" w:rsidRDefault="00810066" w:rsidP="00810066">
      <w:pPr>
        <w:spacing w:after="0" w:line="360" w:lineRule="atLeast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10066">
        <w:rPr>
          <w:rFonts w:ascii="Times New Roman" w:eastAsia="Calibri" w:hAnsi="Times New Roman" w:cs="Times New Roman"/>
          <w:b/>
          <w:sz w:val="26"/>
          <w:szCs w:val="26"/>
        </w:rPr>
        <w:t xml:space="preserve">к долгосрочному прогнозу социально-экономического развития </w:t>
      </w:r>
    </w:p>
    <w:p w:rsidR="00810066" w:rsidRPr="00810066" w:rsidRDefault="00810066" w:rsidP="00810066">
      <w:pPr>
        <w:spacing w:after="0" w:line="360" w:lineRule="atLeast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10066">
        <w:rPr>
          <w:rFonts w:ascii="Times New Roman" w:eastAsia="Calibri" w:hAnsi="Times New Roman" w:cs="Times New Roman"/>
          <w:b/>
          <w:sz w:val="26"/>
          <w:szCs w:val="26"/>
        </w:rPr>
        <w:t>Великого Новгорода на период 2025-2030 годов</w:t>
      </w:r>
    </w:p>
    <w:p w:rsidR="00810066" w:rsidRPr="00810066" w:rsidRDefault="00810066" w:rsidP="00810066">
      <w:pPr>
        <w:spacing w:before="360"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10066">
        <w:rPr>
          <w:rFonts w:ascii="Times New Roman" w:eastAsia="Calibri" w:hAnsi="Times New Roman" w:cs="Times New Roman"/>
          <w:b/>
          <w:sz w:val="26"/>
          <w:szCs w:val="26"/>
        </w:rPr>
        <w:t>Введение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0066">
        <w:rPr>
          <w:rFonts w:ascii="Times New Roman" w:eastAsia="Calibri" w:hAnsi="Times New Roman" w:cs="Times New Roman"/>
          <w:sz w:val="26"/>
          <w:szCs w:val="26"/>
        </w:rPr>
        <w:t>Долгосрочный прогноз социально-экономического развития Великого Новгор</w:t>
      </w:r>
      <w:r w:rsidRPr="00810066">
        <w:rPr>
          <w:rFonts w:ascii="Times New Roman" w:eastAsia="Calibri" w:hAnsi="Times New Roman" w:cs="Times New Roman"/>
          <w:sz w:val="26"/>
          <w:szCs w:val="26"/>
        </w:rPr>
        <w:t>о</w:t>
      </w:r>
      <w:r w:rsidRPr="00810066">
        <w:rPr>
          <w:rFonts w:ascii="Times New Roman" w:eastAsia="Calibri" w:hAnsi="Times New Roman" w:cs="Times New Roman"/>
          <w:sz w:val="26"/>
          <w:szCs w:val="26"/>
        </w:rPr>
        <w:t>да на период 2025 - 2030 годов (далее – долгосрочный прогноз) является документом стратегического планирования.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0066">
        <w:rPr>
          <w:rFonts w:ascii="Times New Roman" w:eastAsia="Calibri" w:hAnsi="Times New Roman" w:cs="Times New Roman"/>
          <w:sz w:val="26"/>
          <w:szCs w:val="26"/>
        </w:rPr>
        <w:t>Долгосрочный прогноз формирует единую аналитическую платформу для акт</w:t>
      </w:r>
      <w:r w:rsidRPr="00810066">
        <w:rPr>
          <w:rFonts w:ascii="Times New Roman" w:eastAsia="Calibri" w:hAnsi="Times New Roman" w:cs="Times New Roman"/>
          <w:sz w:val="26"/>
          <w:szCs w:val="26"/>
        </w:rPr>
        <w:t>у</w:t>
      </w:r>
      <w:r w:rsidRPr="00810066">
        <w:rPr>
          <w:rFonts w:ascii="Times New Roman" w:eastAsia="Calibri" w:hAnsi="Times New Roman" w:cs="Times New Roman"/>
          <w:sz w:val="26"/>
          <w:szCs w:val="26"/>
        </w:rPr>
        <w:t>ализации Стратегии социально-экономического развития Великого Новгорода, Ген</w:t>
      </w:r>
      <w:r w:rsidRPr="00810066">
        <w:rPr>
          <w:rFonts w:ascii="Times New Roman" w:eastAsia="Calibri" w:hAnsi="Times New Roman" w:cs="Times New Roman"/>
          <w:sz w:val="26"/>
          <w:szCs w:val="26"/>
        </w:rPr>
        <w:t>е</w:t>
      </w:r>
      <w:r w:rsidRPr="00810066">
        <w:rPr>
          <w:rFonts w:ascii="Times New Roman" w:eastAsia="Calibri" w:hAnsi="Times New Roman" w:cs="Times New Roman"/>
          <w:sz w:val="26"/>
          <w:szCs w:val="26"/>
        </w:rPr>
        <w:t>рального плана развития города, разработки бюджетного долгосрочного прогноза и других стратегических документов.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10066">
        <w:rPr>
          <w:rFonts w:ascii="Times New Roman" w:eastAsia="Calibri" w:hAnsi="Times New Roman" w:cs="Times New Roman"/>
          <w:sz w:val="26"/>
          <w:szCs w:val="26"/>
        </w:rPr>
        <w:t>Исходными для разработки долгосрочного прогноза являются параметры пр</w:t>
      </w:r>
      <w:r w:rsidRPr="00810066">
        <w:rPr>
          <w:rFonts w:ascii="Times New Roman" w:eastAsia="Calibri" w:hAnsi="Times New Roman" w:cs="Times New Roman"/>
          <w:sz w:val="26"/>
          <w:szCs w:val="26"/>
        </w:rPr>
        <w:t>о</w:t>
      </w:r>
      <w:r w:rsidRPr="00810066">
        <w:rPr>
          <w:rFonts w:ascii="Times New Roman" w:eastAsia="Calibri" w:hAnsi="Times New Roman" w:cs="Times New Roman"/>
          <w:sz w:val="26"/>
          <w:szCs w:val="26"/>
        </w:rPr>
        <w:t>гноза социально-экономического развития Великого Новгорода на среднесрочный период 2025 – 2027 годов, прогноза долгосрочного социально-экономического Но</w:t>
      </w:r>
      <w:r w:rsidRPr="00810066">
        <w:rPr>
          <w:rFonts w:ascii="Times New Roman" w:eastAsia="Calibri" w:hAnsi="Times New Roman" w:cs="Times New Roman"/>
          <w:sz w:val="26"/>
          <w:szCs w:val="26"/>
        </w:rPr>
        <w:t>в</w:t>
      </w:r>
      <w:r w:rsidRPr="00810066">
        <w:rPr>
          <w:rFonts w:ascii="Times New Roman" w:eastAsia="Calibri" w:hAnsi="Times New Roman" w:cs="Times New Roman"/>
          <w:sz w:val="26"/>
          <w:szCs w:val="26"/>
        </w:rPr>
        <w:t>городской области на период до 2042 года, а также Указа Президента Российской Ф</w:t>
      </w:r>
      <w:r w:rsidRPr="00810066">
        <w:rPr>
          <w:rFonts w:ascii="Times New Roman" w:eastAsia="Calibri" w:hAnsi="Times New Roman" w:cs="Times New Roman"/>
          <w:sz w:val="26"/>
          <w:szCs w:val="26"/>
        </w:rPr>
        <w:t>е</w:t>
      </w:r>
      <w:r w:rsidRPr="00810066">
        <w:rPr>
          <w:rFonts w:ascii="Times New Roman" w:eastAsia="Calibri" w:hAnsi="Times New Roman" w:cs="Times New Roman"/>
          <w:sz w:val="26"/>
          <w:szCs w:val="26"/>
        </w:rPr>
        <w:t>дерации от 7 мая 2024 г. № 474 «О национальных целях развития Российской Фед</w:t>
      </w:r>
      <w:r w:rsidRPr="00810066">
        <w:rPr>
          <w:rFonts w:ascii="Times New Roman" w:eastAsia="Calibri" w:hAnsi="Times New Roman" w:cs="Times New Roman"/>
          <w:sz w:val="26"/>
          <w:szCs w:val="26"/>
        </w:rPr>
        <w:t>е</w:t>
      </w:r>
      <w:r w:rsidRPr="00810066">
        <w:rPr>
          <w:rFonts w:ascii="Times New Roman" w:eastAsia="Calibri" w:hAnsi="Times New Roman" w:cs="Times New Roman"/>
          <w:sz w:val="26"/>
          <w:szCs w:val="26"/>
        </w:rPr>
        <w:t>рации на период до 2030 года и на перспективу до 2036 года».</w:t>
      </w:r>
      <w:proofErr w:type="gramEnd"/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0066">
        <w:rPr>
          <w:rFonts w:ascii="Times New Roman" w:eastAsia="Calibri" w:hAnsi="Times New Roman" w:cs="Times New Roman"/>
          <w:sz w:val="26"/>
          <w:szCs w:val="26"/>
        </w:rPr>
        <w:t>Долгосрочный прогноз разрабатывается 1 раз в 3 года, нормативную базу с</w:t>
      </w:r>
      <w:r w:rsidRPr="00810066">
        <w:rPr>
          <w:rFonts w:ascii="Times New Roman" w:eastAsia="Calibri" w:hAnsi="Times New Roman" w:cs="Times New Roman"/>
          <w:sz w:val="26"/>
          <w:szCs w:val="26"/>
        </w:rPr>
        <w:t>о</w:t>
      </w:r>
      <w:r w:rsidRPr="00810066">
        <w:rPr>
          <w:rFonts w:ascii="Times New Roman" w:eastAsia="Calibri" w:hAnsi="Times New Roman" w:cs="Times New Roman"/>
          <w:sz w:val="26"/>
          <w:szCs w:val="26"/>
        </w:rPr>
        <w:t>ставляют: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0066">
        <w:rPr>
          <w:rFonts w:ascii="Times New Roman" w:eastAsia="Calibri" w:hAnsi="Times New Roman" w:cs="Times New Roman"/>
          <w:sz w:val="26"/>
          <w:szCs w:val="26"/>
        </w:rPr>
        <w:t>Бюджетный кодекс Российской Федерации;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0066">
        <w:rPr>
          <w:rFonts w:ascii="Times New Roman" w:eastAsia="Calibri" w:hAnsi="Times New Roman" w:cs="Times New Roman"/>
          <w:sz w:val="26"/>
          <w:szCs w:val="26"/>
        </w:rPr>
        <w:t>Федеральный закон от 28 июня 2014 г. № 172-ФЗ «О стратегическом планиров</w:t>
      </w:r>
      <w:r w:rsidRPr="00810066">
        <w:rPr>
          <w:rFonts w:ascii="Times New Roman" w:eastAsia="Calibri" w:hAnsi="Times New Roman" w:cs="Times New Roman"/>
          <w:sz w:val="26"/>
          <w:szCs w:val="26"/>
        </w:rPr>
        <w:t>а</w:t>
      </w:r>
      <w:r w:rsidRPr="00810066">
        <w:rPr>
          <w:rFonts w:ascii="Times New Roman" w:eastAsia="Calibri" w:hAnsi="Times New Roman" w:cs="Times New Roman"/>
          <w:sz w:val="26"/>
          <w:szCs w:val="26"/>
        </w:rPr>
        <w:t>нии в Российской Федерации»;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0066">
        <w:rPr>
          <w:rFonts w:ascii="Times New Roman" w:eastAsia="Calibri" w:hAnsi="Times New Roman" w:cs="Times New Roman"/>
          <w:sz w:val="26"/>
          <w:szCs w:val="26"/>
        </w:rPr>
        <w:t>решение Думы Великого Новгорода от 03.11.2015 № 636 «Об утверждении П</w:t>
      </w:r>
      <w:r w:rsidRPr="00810066">
        <w:rPr>
          <w:rFonts w:ascii="Times New Roman" w:eastAsia="Calibri" w:hAnsi="Times New Roman" w:cs="Times New Roman"/>
          <w:sz w:val="26"/>
          <w:szCs w:val="26"/>
        </w:rPr>
        <w:t>о</w:t>
      </w:r>
      <w:r w:rsidRPr="00810066">
        <w:rPr>
          <w:rFonts w:ascii="Times New Roman" w:eastAsia="Calibri" w:hAnsi="Times New Roman" w:cs="Times New Roman"/>
          <w:sz w:val="26"/>
          <w:szCs w:val="26"/>
        </w:rPr>
        <w:t>ложения о стратегическом планировании в Великом Новгороде»;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0066">
        <w:rPr>
          <w:rFonts w:ascii="Times New Roman" w:eastAsia="Calibri" w:hAnsi="Times New Roman" w:cs="Times New Roman"/>
          <w:sz w:val="26"/>
          <w:szCs w:val="26"/>
        </w:rPr>
        <w:t>решение Думы Великого Новгорода от 26.10.2017 № 1288 «Об утверждении Стратегии социально-экономического развития Великого Новгорода на период до 2030 года»;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0066">
        <w:rPr>
          <w:rFonts w:ascii="Times New Roman" w:eastAsia="Calibri" w:hAnsi="Times New Roman" w:cs="Times New Roman"/>
          <w:sz w:val="26"/>
          <w:szCs w:val="26"/>
        </w:rPr>
        <w:t>постановление Администрации Великого Новгорода от 30.12.2015 № 5549 «Об утверждении Порядка разработки, корректировки, осуществления мониторинга и контроля реализации прогноза социально-экономического развития Великого Новг</w:t>
      </w:r>
      <w:r w:rsidRPr="00810066">
        <w:rPr>
          <w:rFonts w:ascii="Times New Roman" w:eastAsia="Calibri" w:hAnsi="Times New Roman" w:cs="Times New Roman"/>
          <w:sz w:val="26"/>
          <w:szCs w:val="26"/>
        </w:rPr>
        <w:t>о</w:t>
      </w:r>
      <w:r w:rsidRPr="00810066">
        <w:rPr>
          <w:rFonts w:ascii="Times New Roman" w:eastAsia="Calibri" w:hAnsi="Times New Roman" w:cs="Times New Roman"/>
          <w:sz w:val="26"/>
          <w:szCs w:val="26"/>
        </w:rPr>
        <w:t>рода на долгосрочный и среднесрочный периоды».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0066">
        <w:rPr>
          <w:rFonts w:ascii="Times New Roman" w:eastAsia="Calibri" w:hAnsi="Times New Roman" w:cs="Times New Roman"/>
          <w:sz w:val="26"/>
          <w:szCs w:val="26"/>
        </w:rPr>
        <w:lastRenderedPageBreak/>
        <w:t>Долгосрочный прогноз разработан в составе двух вариантов – консервативный (вариант 1) и базовый (вариант 2). В базовом (2) варианте предусматривается восст</w:t>
      </w:r>
      <w:r w:rsidRPr="00810066">
        <w:rPr>
          <w:rFonts w:ascii="Times New Roman" w:eastAsia="Calibri" w:hAnsi="Times New Roman" w:cs="Times New Roman"/>
          <w:sz w:val="26"/>
          <w:szCs w:val="26"/>
        </w:rPr>
        <w:t>а</w:t>
      </w:r>
      <w:r w:rsidRPr="00810066">
        <w:rPr>
          <w:rFonts w:ascii="Times New Roman" w:eastAsia="Calibri" w:hAnsi="Times New Roman" w:cs="Times New Roman"/>
          <w:sz w:val="26"/>
          <w:szCs w:val="26"/>
        </w:rPr>
        <w:t>новительный рост экономики и стабилизация, повышение инвестиционной активн</w:t>
      </w:r>
      <w:r w:rsidRPr="00810066">
        <w:rPr>
          <w:rFonts w:ascii="Times New Roman" w:eastAsia="Calibri" w:hAnsi="Times New Roman" w:cs="Times New Roman"/>
          <w:sz w:val="26"/>
          <w:szCs w:val="26"/>
        </w:rPr>
        <w:t>о</w:t>
      </w:r>
      <w:r w:rsidRPr="00810066">
        <w:rPr>
          <w:rFonts w:ascii="Times New Roman" w:eastAsia="Calibri" w:hAnsi="Times New Roman" w:cs="Times New Roman"/>
          <w:sz w:val="26"/>
          <w:szCs w:val="26"/>
        </w:rPr>
        <w:t>сти, в консервативном (1) варианте ожидаются более низкие темпы экономического роста по сравнению с базовым сценарием.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0066">
        <w:rPr>
          <w:rFonts w:ascii="Times New Roman" w:eastAsia="Calibri" w:hAnsi="Times New Roman" w:cs="Times New Roman"/>
          <w:sz w:val="26"/>
          <w:szCs w:val="26"/>
        </w:rPr>
        <w:t>В пояснительной записке к прогнозу характеристика основных социально-экономических показателей развития Великого Новгорода на период 2025 – 2030 г</w:t>
      </w:r>
      <w:r w:rsidRPr="00810066">
        <w:rPr>
          <w:rFonts w:ascii="Times New Roman" w:eastAsia="Calibri" w:hAnsi="Times New Roman" w:cs="Times New Roman"/>
          <w:sz w:val="26"/>
          <w:szCs w:val="26"/>
        </w:rPr>
        <w:t>о</w:t>
      </w:r>
      <w:r w:rsidRPr="00810066">
        <w:rPr>
          <w:rFonts w:ascii="Times New Roman" w:eastAsia="Calibri" w:hAnsi="Times New Roman" w:cs="Times New Roman"/>
          <w:sz w:val="26"/>
          <w:szCs w:val="26"/>
        </w:rPr>
        <w:t>дов представлена в базовом варианте, являющимся основным вариантом для разр</w:t>
      </w:r>
      <w:r w:rsidRPr="00810066">
        <w:rPr>
          <w:rFonts w:ascii="Times New Roman" w:eastAsia="Calibri" w:hAnsi="Times New Roman" w:cs="Times New Roman"/>
          <w:sz w:val="26"/>
          <w:szCs w:val="26"/>
        </w:rPr>
        <w:t>а</w:t>
      </w:r>
      <w:r w:rsidRPr="00810066">
        <w:rPr>
          <w:rFonts w:ascii="Times New Roman" w:eastAsia="Calibri" w:hAnsi="Times New Roman" w:cs="Times New Roman"/>
          <w:sz w:val="26"/>
          <w:szCs w:val="26"/>
        </w:rPr>
        <w:t>ботки долгосрочного бюджетного прогноза.</w:t>
      </w:r>
    </w:p>
    <w:p w:rsidR="00810066" w:rsidRPr="00810066" w:rsidRDefault="00810066" w:rsidP="00810066">
      <w:pPr>
        <w:spacing w:before="360"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10066">
        <w:rPr>
          <w:rFonts w:ascii="Times New Roman" w:eastAsia="Calibri" w:hAnsi="Times New Roman" w:cs="Times New Roman"/>
          <w:b/>
          <w:sz w:val="26"/>
          <w:szCs w:val="26"/>
        </w:rPr>
        <w:t>Общая оценка социально-экономической ситуации в Великом Новгороде за отчетный период</w:t>
      </w:r>
    </w:p>
    <w:p w:rsidR="00810066" w:rsidRPr="00810066" w:rsidRDefault="00810066" w:rsidP="00810066">
      <w:pPr>
        <w:spacing w:before="48" w:after="48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социально-экономического развития Великого Новгорода в 2023 году х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рактеризуются следующими количественными показателями:</w:t>
      </w:r>
    </w:p>
    <w:p w:rsidR="00810066" w:rsidRPr="00810066" w:rsidRDefault="00810066" w:rsidP="00810066">
      <w:pPr>
        <w:spacing w:before="48" w:after="48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индекс промышленного производства составил 102,1% к уровню 2022 года;</w:t>
      </w:r>
    </w:p>
    <w:p w:rsidR="00810066" w:rsidRPr="00810066" w:rsidRDefault="00810066" w:rsidP="00810066">
      <w:pPr>
        <w:spacing w:before="48" w:after="48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реализовано 9 частных инвестиционных проектов с общим объемом инвестиций более 7,6 </w:t>
      </w:r>
      <w:proofErr w:type="gram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млрд</w:t>
      </w:r>
      <w:proofErr w:type="gramEnd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создано 374 новых рабочих места;</w:t>
      </w:r>
    </w:p>
    <w:p w:rsidR="00810066" w:rsidRPr="00810066" w:rsidRDefault="00810066" w:rsidP="00810066">
      <w:pPr>
        <w:spacing w:before="48" w:after="48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работ, выполненных по виду деятельности «Строительство», увеличился на 8,5% к уровню прошлого года и составил 11,3 </w:t>
      </w:r>
      <w:proofErr w:type="gram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млрд</w:t>
      </w:r>
      <w:proofErr w:type="gramEnd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рублей;</w:t>
      </w:r>
    </w:p>
    <w:p w:rsidR="00810066" w:rsidRPr="00810066" w:rsidRDefault="00810066" w:rsidP="00810066">
      <w:pPr>
        <w:spacing w:before="48" w:after="48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оборот розничной торговли составил 102,7% к уровню 2022 года или 93,4 </w:t>
      </w:r>
      <w:proofErr w:type="gram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млрд</w:t>
      </w:r>
      <w:proofErr w:type="gramEnd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 рублей, оборот общественного питания – 102,7% к уровню 2022 года или 3,96 млрд рублей;</w:t>
      </w:r>
    </w:p>
    <w:p w:rsidR="00810066" w:rsidRPr="00810066" w:rsidRDefault="00810066" w:rsidP="00810066">
      <w:pPr>
        <w:spacing w:before="48" w:after="48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число субъектов малого и среднего предпринимательства на 01.01.2024 увеличилось на 24,6% и составило 19 111 единиц, из них число индивидуальных предпринимателей составляет 5 908 человека (105,8% к 2022 году). Существенный рост отмечен по числу «</w:t>
      </w:r>
      <w:proofErr w:type="spell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самозанятых</w:t>
      </w:r>
      <w:proofErr w:type="spellEnd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граждан (165,4%), число которых на начало 2024 года составило 9 021 человек; </w:t>
      </w:r>
    </w:p>
    <w:p w:rsidR="00810066" w:rsidRPr="00810066" w:rsidRDefault="00810066" w:rsidP="00810066">
      <w:pPr>
        <w:spacing w:before="48" w:after="48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туристов, размещенных в коллективных средствах размещения, ув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личилось на 7,0% и составило 270,2 тыс. человек, в том числе количество российских туристов увеличилось на 6,3% и составило 262,5 тыс. человек;</w:t>
      </w:r>
    </w:p>
    <w:p w:rsidR="00810066" w:rsidRPr="00810066" w:rsidRDefault="00810066" w:rsidP="00810066">
      <w:pPr>
        <w:spacing w:before="48" w:after="48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посетителей музеев увеличилось на 16,0% и составило 1,1 </w:t>
      </w:r>
      <w:proofErr w:type="gram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End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 человек;</w:t>
      </w:r>
    </w:p>
    <w:p w:rsidR="00810066" w:rsidRPr="00810066" w:rsidRDefault="00810066" w:rsidP="00810066">
      <w:pPr>
        <w:spacing w:before="48" w:after="48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среднемесячная номинальная заработная плата, начисленная работникам орган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заций (без субъектов малого предпринимательства), в 2023 году возросла на 17,0 % и составила 62,6 тыс. рублей; </w:t>
      </w:r>
    </w:p>
    <w:p w:rsidR="00810066" w:rsidRPr="00810066" w:rsidRDefault="00810066" w:rsidP="00810066">
      <w:pPr>
        <w:spacing w:before="48" w:after="48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численность безработных граждан сократилась с 903 человек (на 01.01.2023) до 547 человек (на 01.01.2024).</w:t>
      </w:r>
    </w:p>
    <w:p w:rsidR="00810066" w:rsidRPr="00810066" w:rsidRDefault="00810066" w:rsidP="00810066">
      <w:pPr>
        <w:spacing w:beforeLines="20" w:before="48" w:afterLines="20" w:after="48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Прогноз основных социально-экономических показателей развития Вел</w:t>
      </w:r>
      <w:r w:rsidRPr="008100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8100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кого Новгорода на период до 2030 года</w:t>
      </w:r>
    </w:p>
    <w:p w:rsidR="00810066" w:rsidRPr="00810066" w:rsidRDefault="00810066" w:rsidP="00810066">
      <w:pPr>
        <w:spacing w:beforeLines="20" w:before="48" w:afterLines="20" w:after="48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Демографическое развитие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0066">
        <w:rPr>
          <w:rFonts w:ascii="Times New Roman" w:eastAsia="Calibri" w:hAnsi="Times New Roman" w:cs="Times New Roman"/>
          <w:sz w:val="26"/>
          <w:szCs w:val="26"/>
        </w:rPr>
        <w:t xml:space="preserve">Численность населения Великого Новгорода имеет тенденции снижения. По данным территориального органа Федеральной службы государственной статистики по Новгородской области численность постоянного населения Великого Новгорода по состоянию на 1 января 2024 года составила 222 340 человек (99,6% к 2022 году). 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0066">
        <w:rPr>
          <w:rFonts w:ascii="Times New Roman" w:eastAsia="Calibri" w:hAnsi="Times New Roman" w:cs="Times New Roman"/>
          <w:sz w:val="26"/>
          <w:szCs w:val="26"/>
        </w:rPr>
        <w:t>Коэффициент рождаемости в 2023 году снизился до 7,26 (на 1000 человек нас</w:t>
      </w:r>
      <w:r w:rsidRPr="00810066">
        <w:rPr>
          <w:rFonts w:ascii="Times New Roman" w:eastAsia="Calibri" w:hAnsi="Times New Roman" w:cs="Times New Roman"/>
          <w:sz w:val="26"/>
          <w:szCs w:val="26"/>
        </w:rPr>
        <w:t>е</w:t>
      </w:r>
      <w:r w:rsidRPr="00810066">
        <w:rPr>
          <w:rFonts w:ascii="Times New Roman" w:eastAsia="Calibri" w:hAnsi="Times New Roman" w:cs="Times New Roman"/>
          <w:sz w:val="26"/>
          <w:szCs w:val="26"/>
        </w:rPr>
        <w:t>ления) с 7,85 (на 1000 человек населения) в 2022 году. Коэффициент смертности в о</w:t>
      </w:r>
      <w:r w:rsidRPr="00810066">
        <w:rPr>
          <w:rFonts w:ascii="Times New Roman" w:eastAsia="Calibri" w:hAnsi="Times New Roman" w:cs="Times New Roman"/>
          <w:sz w:val="26"/>
          <w:szCs w:val="26"/>
        </w:rPr>
        <w:t>т</w:t>
      </w:r>
      <w:r w:rsidRPr="00810066">
        <w:rPr>
          <w:rFonts w:ascii="Times New Roman" w:eastAsia="Calibri" w:hAnsi="Times New Roman" w:cs="Times New Roman"/>
          <w:sz w:val="26"/>
          <w:szCs w:val="26"/>
        </w:rPr>
        <w:t>четном году имел положительную тенденцию (сокращения) и составил 13,67 (на 1000 человек населения) напротив 14,43 (на 1000 человек населения) в 2022 году.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 году коэффициент рождаемости по оценке составит 7,24 родившихся на 1000 человек населения, коэффициент смертности - 13,53 умерших на 1000 человек населения. В долгосрочном периоде до 2030 года прогнозируется установление п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ложительной тенденции в демографических показателях. 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 общей численности населения отмечается к 2029 году с учетом роста пок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зателей миграции, которые будут покрывать естественные потери населения. Прирост населения будет являться безусловным эффектом введения в эксплуатацию высок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скоростной железнодорожной магистрали. 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Calibri" w:hAnsi="Times New Roman" w:cs="Times New Roman"/>
          <w:sz w:val="26"/>
          <w:szCs w:val="26"/>
        </w:rPr>
        <w:t xml:space="preserve">Однако демографические риски сохраняются. 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0066">
        <w:rPr>
          <w:rFonts w:ascii="Times New Roman" w:eastAsia="Calibri" w:hAnsi="Times New Roman" w:cs="Times New Roman"/>
          <w:sz w:val="26"/>
          <w:szCs w:val="26"/>
        </w:rPr>
        <w:t>Росту рождаемости будут способствовать принятые на федеральном уровне масштабные меры финансовой поддержки семей с детьми, а также женщинам в пер</w:t>
      </w:r>
      <w:r w:rsidRPr="00810066">
        <w:rPr>
          <w:rFonts w:ascii="Times New Roman" w:eastAsia="Calibri" w:hAnsi="Times New Roman" w:cs="Times New Roman"/>
          <w:sz w:val="26"/>
          <w:szCs w:val="26"/>
        </w:rPr>
        <w:t>и</w:t>
      </w:r>
      <w:r w:rsidRPr="00810066">
        <w:rPr>
          <w:rFonts w:ascii="Times New Roman" w:eastAsia="Calibri" w:hAnsi="Times New Roman" w:cs="Times New Roman"/>
          <w:sz w:val="26"/>
          <w:szCs w:val="26"/>
        </w:rPr>
        <w:t>од беременности, которые также направлены на снижение риска возникновения бе</w:t>
      </w:r>
      <w:r w:rsidRPr="00810066">
        <w:rPr>
          <w:rFonts w:ascii="Times New Roman" w:eastAsia="Calibri" w:hAnsi="Times New Roman" w:cs="Times New Roman"/>
          <w:sz w:val="26"/>
          <w:szCs w:val="26"/>
        </w:rPr>
        <w:t>д</w:t>
      </w:r>
      <w:r w:rsidRPr="00810066">
        <w:rPr>
          <w:rFonts w:ascii="Times New Roman" w:eastAsia="Calibri" w:hAnsi="Times New Roman" w:cs="Times New Roman"/>
          <w:sz w:val="26"/>
          <w:szCs w:val="26"/>
        </w:rPr>
        <w:t>ности при рождении ребенка. Кроме того, совершенствуются подходы к действу</w:t>
      </w:r>
      <w:r w:rsidRPr="00810066">
        <w:rPr>
          <w:rFonts w:ascii="Times New Roman" w:eastAsia="Calibri" w:hAnsi="Times New Roman" w:cs="Times New Roman"/>
          <w:sz w:val="26"/>
          <w:szCs w:val="26"/>
        </w:rPr>
        <w:t>ю</w:t>
      </w:r>
      <w:r w:rsidRPr="00810066">
        <w:rPr>
          <w:rFonts w:ascii="Times New Roman" w:eastAsia="Calibri" w:hAnsi="Times New Roman" w:cs="Times New Roman"/>
          <w:sz w:val="26"/>
          <w:szCs w:val="26"/>
        </w:rPr>
        <w:t>щим мерам поддержки семей с детьми.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Важным условием при принятии решения о рождении ребенка является возмо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ность для женщин продолжения трудовой деятельности. В этой связи уже сейчас в 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городе обеспечена 100-процентная доступность дошкольного образования для детей в возрасте от 1,5 до 3 лет. 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0066">
        <w:rPr>
          <w:rFonts w:ascii="Times New Roman" w:eastAsia="Calibri" w:hAnsi="Times New Roman" w:cs="Times New Roman"/>
          <w:sz w:val="26"/>
          <w:szCs w:val="26"/>
        </w:rPr>
        <w:t xml:space="preserve">Росту демографических показателей будет способствовать мотивация населения к ведению здорового образа жизни, занятиям физической культурой и спортом. Для этого в городе реализуется большой комплекс 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по созданию условий для занятий горожан спортом, е</w:t>
      </w:r>
      <w:r w:rsidRPr="00810066">
        <w:rPr>
          <w:rFonts w:ascii="Times New Roman" w:eastAsia="Calibri" w:hAnsi="Times New Roman" w:cs="Times New Roman"/>
          <w:sz w:val="26"/>
          <w:szCs w:val="26"/>
        </w:rPr>
        <w:t>жегодно открываются новые спортивные объекты, в том числе на территориях многоквартирных жилых домов и образовательных учрежд</w:t>
      </w:r>
      <w:r w:rsidRPr="00810066">
        <w:rPr>
          <w:rFonts w:ascii="Times New Roman" w:eastAsia="Calibri" w:hAnsi="Times New Roman" w:cs="Times New Roman"/>
          <w:sz w:val="26"/>
          <w:szCs w:val="26"/>
        </w:rPr>
        <w:t>е</w:t>
      </w:r>
      <w:r w:rsidRPr="00810066">
        <w:rPr>
          <w:rFonts w:ascii="Times New Roman" w:eastAsia="Calibri" w:hAnsi="Times New Roman" w:cs="Times New Roman"/>
          <w:sz w:val="26"/>
          <w:szCs w:val="26"/>
        </w:rPr>
        <w:t xml:space="preserve">ний. 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Достижению целей обеспечения устойчивого естественного прироста населения и повышения ожидаемой продолжительности жизни будет способствовать </w:t>
      </w:r>
      <w:r w:rsidRPr="00810066">
        <w:rPr>
          <w:rFonts w:ascii="Times New Roman" w:eastAsia="Calibri" w:hAnsi="Times New Roman" w:cs="Times New Roman"/>
          <w:sz w:val="26"/>
          <w:szCs w:val="26"/>
        </w:rPr>
        <w:t>улучшение качества жизни населения путем повышения комфортности и качества городской среды, улучшения экологической обстановки в рамках реализации муниципальных программ по соответствующим направлениям,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путем активного участия в реализации соответствующих национальных проектов. </w:t>
      </w:r>
    </w:p>
    <w:p w:rsidR="00810066" w:rsidRPr="00810066" w:rsidRDefault="00810066" w:rsidP="0081006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Промышленное производство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Calibri" w:hAnsi="Times New Roman" w:cs="Times New Roman"/>
          <w:sz w:val="26"/>
          <w:szCs w:val="26"/>
        </w:rPr>
        <w:t>Промышленное производство является основой экономики Великого Новгорода и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играет определяющую роль в его развитии. 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структуре промышленности наибольший удельный вес занимают обрабатыв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ющие производства (90,1% в структуре промышленности в 2023 году), на «Обеспеч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электрической энергией, газом и паром, кондиционирование воздуха» приходится 8,9%, на «Водоснабжение, водоотведение, организацию сбора и утилизацию отходов, деятельность по ликвидации загрязнений» - 1,0%.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2023 года общий индекс промышленного производства составил 122,9%, в том числе по обрабатывающим производствам – 126,7%. Совокупный об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ъ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отгруженной промышленной продукции крупными и средними предприятиями Великого Новгорода составил 214,6 </w:t>
      </w:r>
      <w:proofErr w:type="gram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млрд</w:t>
      </w:r>
      <w:proofErr w:type="gramEnd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в том числе обрабатывающими производствами отгружено продукции на сумму 193,3 млрд рублей.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Предприятиями, занятыми в обеспечении электрической энергией, газом и п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ром, кондиционированием воздуха, в 2023 году произведено и передано потребит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лям продукции на 19,1 </w:t>
      </w:r>
      <w:proofErr w:type="gram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млрд</w:t>
      </w:r>
      <w:proofErr w:type="gramEnd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(индекс производства – 98,6%), в сфере «Вод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снабжение, водоотведение, организация сбора и утилизации отходов, деятельность по 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ликвидации загрязнений» произведено и передано потребителям продукции на 2,1 млрд рублей (индекс производства - 102,9%).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существующих тенденций макроэкономического развития в промы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ленном производстве прогнозируется положительная динамика индекса производства в долгосрочном периоде до 2030 года, что обусловлено результативностью работы предприятий над оптимизацией своих процессов, внедрением передовых технологий, расширением производств и рынков сбыта продукции, а также посредством решения следующих задач: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дальнейшее формирование и продвижение инвестиционных площадок; 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расширения интеграции малого и среднего предприним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тельства в промышленный сектор;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реализация проектов по созданию и развитию индустриальных парков, региональных промышленных площадок;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участия инвестиционных проектов в государственных программах Российской Федерации и Новгородской области;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расширение использования научного потенциала ФГБОУ </w:t>
      </w:r>
      <w:proofErr w:type="gram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proofErr w:type="gramEnd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«Новгородский государственный университет имени Ярослава Мудрого», а также функционирующих на территории города научно-исследовательских организаций в промышленном се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торе экономики.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долгосрочном периоде инновационный вектор развития промышленности не предполагает кардинальную смену специализации городской экономики, при этом получат свое развитие новые передовые кластеры. 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наиболее динамично растущих секторов в настоящее время является радиоэлектроника. В основном это обусловлено ростом государственных оборонных заказов. Наряду с этим предприятия также осуществляют выпуск продукции гра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данского назначения и расширяют ее номенклатуру, в том числе по производству и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новационных технических средств реабилитации.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Положительное влияние на развитие радиоэлектроники оказывает деятельность ИНТЦ «Интеллектуальная электроника – Валдай», нацеленная на развитие научного потенциала Великого Новгорода совместно с передовыми предприятиями Новгоро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ской области. В перспективе это позволит обеспечить </w:t>
      </w:r>
      <w:proofErr w:type="spell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импортозамещение</w:t>
      </w:r>
      <w:proofErr w:type="spellEnd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продукции и технологий на отечественном рынке.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рамках нацпроекта «Беспилотные авиационные системы» планируется созд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 научно-производственного центра по работе с беспилотной авиацией. 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Развитию промышленности будет способствовать дальнейшая государственная поддержка предприятий промышленности на территории Новгородской области в форме предоставления дополнительных субсидий на приобретение нового оборуд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вания, компенсации оплаты первого лизингового платежа, региональным фондом развития промышленности предоставляются займы сроком до 5 лет под 5,0% на п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полнение оборотных средств. Значимую помощь производителям оказывают Центры поддержки </w:t>
      </w:r>
      <w:proofErr w:type="spell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импортозамещения</w:t>
      </w:r>
      <w:proofErr w:type="spellEnd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поддержки экспорта. </w:t>
      </w:r>
    </w:p>
    <w:p w:rsidR="00810066" w:rsidRPr="00810066" w:rsidRDefault="00810066" w:rsidP="0081006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Торговля и услуги населению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Потребительский рынок является одной из важных сфер товарного обеспечения и предоставления услуг населению, занятости населения. 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2023 году оборот розничной торговли характеризуется ростом к уровню 2022 года на 2,7% (93,4 </w:t>
      </w:r>
      <w:proofErr w:type="gram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млрд</w:t>
      </w:r>
      <w:proofErr w:type="gramEnd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рублей). Положительное влияние на динамику показат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 в данном секторе экономики оказывает достаточно высокий темп роста зарабо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плат работающих в Великом Новгороде, а также наличие в городе разветвлённой сети магазинов, современных универсальных торговых центров, супермаркетов, ры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ков, ярмарок и нестационарных торговых объектов, способных обеспечить растущие потребности населения города. 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Долгосрочный прогноз предполагает устойчивое развитие существующего сет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ритейла, вхождение на рынок новых федеральных сетей, появление ряда новых супермаркетов современных форматов, ежегодное открытие новых ресторанов, ра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ширение перечня предлагаемых потребителям бытовых и иных услуг, создание усл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вий для развития </w:t>
      </w:r>
      <w:proofErr w:type="spell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многоформатной</w:t>
      </w:r>
      <w:proofErr w:type="spellEnd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инфраструктуры торговли, в том числе нестаци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нарной торговли в шаговой доступности, которые в настоящее время приводятся в соответствие к принятому </w:t>
      </w:r>
      <w:r w:rsidRPr="00810066">
        <w:rPr>
          <w:rFonts w:ascii="Times New Roman" w:eastAsia="Calibri" w:hAnsi="Times New Roman" w:cs="Times New Roman"/>
          <w:bCs/>
          <w:kern w:val="2"/>
          <w:sz w:val="26"/>
          <w:szCs w:val="26"/>
          <w:lang w:eastAsia="ru-RU"/>
        </w:rPr>
        <w:t>Дизайн-коду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810066" w:rsidRPr="00810066" w:rsidRDefault="00810066" w:rsidP="0081006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kern w:val="2"/>
          <w:sz w:val="26"/>
          <w:szCs w:val="26"/>
          <w:lang w:eastAsia="ru-RU"/>
        </w:rPr>
      </w:pPr>
      <w:proofErr w:type="gramStart"/>
      <w:r w:rsidRPr="00810066">
        <w:rPr>
          <w:rFonts w:ascii="Times New Roman" w:eastAsia="Calibri" w:hAnsi="Times New Roman" w:cs="Times New Roman"/>
          <w:bCs/>
          <w:kern w:val="2"/>
          <w:sz w:val="26"/>
          <w:szCs w:val="26"/>
          <w:lang w:eastAsia="ru-RU"/>
        </w:rPr>
        <w:t>В связи с активно развивающейся инфраструктурой Софийской набережной и набережной Александра Невского планируется увеличить количество размещаемых на них мобильных пунктов быстрого питания (</w:t>
      </w:r>
      <w:proofErr w:type="spellStart"/>
      <w:r w:rsidRPr="00810066">
        <w:rPr>
          <w:rFonts w:ascii="Times New Roman" w:eastAsia="Calibri" w:hAnsi="Times New Roman" w:cs="Times New Roman"/>
          <w:bCs/>
          <w:kern w:val="2"/>
          <w:sz w:val="26"/>
          <w:szCs w:val="26"/>
          <w:lang w:eastAsia="ru-RU"/>
        </w:rPr>
        <w:t>фуд</w:t>
      </w:r>
      <w:proofErr w:type="spellEnd"/>
      <w:r w:rsidRPr="00810066">
        <w:rPr>
          <w:rFonts w:ascii="Times New Roman" w:eastAsia="Calibri" w:hAnsi="Times New Roman" w:cs="Times New Roman"/>
          <w:bCs/>
          <w:kern w:val="2"/>
          <w:sz w:val="26"/>
          <w:szCs w:val="26"/>
          <w:lang w:eastAsia="ru-RU"/>
        </w:rPr>
        <w:t xml:space="preserve">-траков), а также летних (сезонных) кафе и </w:t>
      </w:r>
      <w:proofErr w:type="spellStart"/>
      <w:r w:rsidRPr="00810066">
        <w:rPr>
          <w:rFonts w:ascii="Times New Roman" w:eastAsia="Calibri" w:hAnsi="Times New Roman" w:cs="Times New Roman"/>
          <w:bCs/>
          <w:kern w:val="2"/>
          <w:sz w:val="26"/>
          <w:szCs w:val="26"/>
          <w:lang w:eastAsia="ru-RU"/>
        </w:rPr>
        <w:t>вендинговых</w:t>
      </w:r>
      <w:proofErr w:type="spellEnd"/>
      <w:r w:rsidRPr="00810066">
        <w:rPr>
          <w:rFonts w:ascii="Times New Roman" w:eastAsia="Calibri" w:hAnsi="Times New Roman" w:cs="Times New Roman"/>
          <w:bCs/>
          <w:kern w:val="2"/>
          <w:sz w:val="26"/>
          <w:szCs w:val="26"/>
          <w:lang w:eastAsia="ru-RU"/>
        </w:rPr>
        <w:t xml:space="preserve"> аппаратов по продаже безалкогольных напитков и кофе, что в свою очередь также будет способствовать увеличению оборота розничной торговли одновременно с ростом туристического потока. </w:t>
      </w:r>
      <w:proofErr w:type="gramEnd"/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 целью создания конкурентной среды на потребительском рынке будут пр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должены мероприятия по организации и проведению сезонных ярмарок по реализ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сельскохозяйственной продукции, ярмарок выходного дня.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Великом Новгороде будет продолжена работа по насыщению потребительск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рынка конкурентоспособными товарами местного производства, совершенствов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взаимоотношений товаропроизводителей с предприятиями оптовой и розничной торговли, созданию эффективной конкурентной среды, как фактора сдерживания р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 цен и предотвращения монополизации отдельных сегментов рынка.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квалификации, подготовка и переподготовка торговых работников, проведение различных конкурсов и семинаров также будут способствовать развитию сферы торговли.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Прогнозируемый рост объема оборота розничной торговли в долгосрочной пе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спективе ожидается на уровне от 104,8% в 2025 году с некоторым замедлением темпа роста до уровня 103,0% к 2030 году.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оказанных платных услуг по полному кругу организаций в 2023 году по оценке составляет 26,3 </w:t>
      </w:r>
      <w:proofErr w:type="gram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млрд</w:t>
      </w:r>
      <w:proofErr w:type="gramEnd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(100,5%). Положительная динамика объема ок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зываемых платных услуг сохранится до конца прогнозного периода. 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Значительного изменения структуры платных услуг в прогнозном периоде не произойдет. По-прежнему более 70% от общего объема расходов населения на услуги будет приходиться на услуги, низко эластичные к доходам населения (жилищно-коммунальные услуги, услуги пассажирского транспорта и связи). Услуги, эласти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к доходам населения, услуги культуры, образования, туризма, медицинские и с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наторно-оздоровительные услуги будут иметь тенденцию постепенного роста, но д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каждой из них в общем объеме невысока.</w:t>
      </w:r>
    </w:p>
    <w:p w:rsidR="00810066" w:rsidRPr="00810066" w:rsidRDefault="00810066" w:rsidP="0081006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Внешнеэкономическая деятельность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Введенные в 2022 году в отношении Российской Федерации международные санкции, проблемы с логистикой, сложности с оплатой продукции и другие огран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чения повлияли на результаты внешнеэкономической деятельности.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2023 году существенно изменилась структура внешнеторгового оборота по сравнению с 2021 годом: экспорт товара составил 48,5%, импорт товара - 51 % (88% и 12% соответственно в 2021 году), что обусловлено резким снижением экспортных 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объемов ввиду значительного сокращения экспорта продукции химической промы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ленности (в частности, удобрений) особенно в страны дальнего зарубежья.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2023 году внешнеторговый оборот составил 774,8 </w:t>
      </w:r>
      <w:proofErr w:type="gram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End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долларов США, (40,5% к 2022 году). В долгосрочной перспективе до 2030 года показатель внешн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торгового оборота будет находиться на уровне 102,3 - 103,4%. В современных усл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виях внешнеэкономические связи компаний продолжают укрепляться и расширяться со следующими странами: Китай, Белоруссия, Узбекистан, Сербия, Казахстан, Ту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ция, Индия, Гонконг.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Крупнейшими участниками внешнеэкономической деятельности в Великом Новгороде являются ПАО «Акрон», ООО «</w:t>
      </w:r>
      <w:proofErr w:type="spell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Анима</w:t>
      </w:r>
      <w:proofErr w:type="spellEnd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Инфинита</w:t>
      </w:r>
      <w:proofErr w:type="spellEnd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Пэкеджинг</w:t>
      </w:r>
      <w:proofErr w:type="spellEnd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Новгород», ООО «</w:t>
      </w:r>
      <w:proofErr w:type="spell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Анима</w:t>
      </w:r>
      <w:proofErr w:type="spellEnd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Инфинита</w:t>
      </w:r>
      <w:proofErr w:type="spellEnd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Флекс</w:t>
      </w:r>
      <w:proofErr w:type="spellEnd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Новгород», ООО «</w:t>
      </w:r>
      <w:proofErr w:type="spell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Мон'делис</w:t>
      </w:r>
      <w:proofErr w:type="spellEnd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Русь», ПАО «Контур», ЗАО «</w:t>
      </w:r>
      <w:proofErr w:type="spell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Новтрак</w:t>
      </w:r>
      <w:proofErr w:type="spellEnd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», ООО «Дом Одежды». Доля вышеназванных предприятий составляет более 90,0% в общем объеме внешнеторгового оборота.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2023 году объем экспортных поставок составил 375,5 </w:t>
      </w:r>
      <w:proofErr w:type="gram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End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долларов США или 22,5% к 2022 году. В долгосрочном периоде до 2030 года объём экспортных поставок будет ежегодно увеличиваться. Доля стран дальнего зарубежья в экспорте составит около 75,0%, доля стран СНГ – 25,0%. Товарная структура экспорта представлена продукцией химической промышленности, металлами и изделиями из них, бумагой и картоном (твердый картонный этикет), продовольственными товарами, машинами, оборудованием, транспортными средствами. Экспортные поставки осуществляются в Китай, Казахстан, Беларусь, Узбекистан, Египет и другие страны. 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импорту в 2023 году на предприятия Великого Новгорода поступило проду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ции на сумму 399,3 </w:t>
      </w:r>
      <w:proofErr w:type="gram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End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долларов США (161,8% к 2022 году). В долгосрочном пери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де до 2030 года объём импортных поставок будет также увеличиваться ежегодно. Структуру импорта товаров составляют в основном текстиль, текстильные изделия и обувь, продукция химической промышленности, машины, оборудование, транспор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средства, металлы и изделия из них. Существенные структурные сдвиги следует отметить в импорте за счет увеличения ввоза текстиля и обуви, а также увеличения ввоза оборудования, в том числе в рамках реализации инвестиционных проектов на предприятиях Великого Новгорода. Доля стран дальнего зарубежья в импорте сост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 около 90,0%, доля стран СНГ – 10,0%. Основные страны - контрагенты в импорте: Китай, Беларусь, Индия.</w:t>
      </w:r>
    </w:p>
    <w:p w:rsidR="00810066" w:rsidRPr="00810066" w:rsidRDefault="00810066" w:rsidP="0081006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Строительство и инвестиции</w:t>
      </w:r>
    </w:p>
    <w:p w:rsidR="00810066" w:rsidRPr="00810066" w:rsidRDefault="00810066" w:rsidP="00810066">
      <w:pPr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2023 году объем работ, выполненных собственными силами организаций по виду деятельности «Строительство», составил 108,5% к уровню 2022 года. В 2024 году ожидается на уровне 102,0%. В долгосрочном периоде до 2030 года объем строительных работ прогнозируется ежегодно на уровне 101,6-101,9%. </w:t>
      </w:r>
    </w:p>
    <w:p w:rsidR="00810066" w:rsidRPr="00810066" w:rsidRDefault="00810066" w:rsidP="00810066">
      <w:pPr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тенденции развития строительного комплекса оказывает влияние реализация инвестиционных проектов, жилищное и дорожное строительство. Прогнозные пок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затели рассчитаны с учетом строительства объектов, включенных, в том числе в А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ресную инвестиционную программу Великого Новгорода. </w:t>
      </w:r>
    </w:p>
    <w:p w:rsidR="00810066" w:rsidRPr="00810066" w:rsidRDefault="00810066" w:rsidP="00810066">
      <w:pPr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2023 году введено в эксплуатацию 107,4 тыс. кв. м жилья. В соответствии с намеченными планами в текущем году осуществляется ввод в эксплуатацию мног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квартирных домов в жилом районе «</w:t>
      </w:r>
      <w:proofErr w:type="spell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Ивушки</w:t>
      </w:r>
      <w:proofErr w:type="spellEnd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 ЖК «Союз» в квартале 147 Псковского жилого района города, в ЖК «Барселона» по ул. Вересова, в ЖК «</w:t>
      </w:r>
      <w:proofErr w:type="spell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Веряжское</w:t>
      </w:r>
      <w:proofErr w:type="spellEnd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раздолье» в микрорайоне 14 города. По итогам 2024 года ожидаемый ввод составит 92,9 тыс. кв. м (86,5% к уровню 2023 года).</w:t>
      </w:r>
    </w:p>
    <w:p w:rsidR="00810066" w:rsidRPr="00810066" w:rsidRDefault="00810066" w:rsidP="00810066">
      <w:pPr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долгосрочном периоде до 2030 года показатели ввода жилья будут находиться на уровне 100,0 тыс. кв. м. </w:t>
      </w:r>
    </w:p>
    <w:p w:rsidR="00810066" w:rsidRPr="00810066" w:rsidRDefault="00810066" w:rsidP="00810066">
      <w:pPr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Стимулом для развития жилищного строительства служит строительство объе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инженерной, транспортной и социальной инфраструктуры. В этой связи необх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димо отметить следующие мероприятия по строительству:</w:t>
      </w:r>
    </w:p>
    <w:p w:rsidR="00810066" w:rsidRPr="00810066" w:rsidRDefault="00810066" w:rsidP="00810066">
      <w:pPr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2024-2025 году - строительство подъездных путей к земельным участкам, в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деленным под индивидуальное жилищное строительство для льготных категорий граждан в микрорайоне Кречевицы;</w:t>
      </w:r>
    </w:p>
    <w:p w:rsidR="00810066" w:rsidRPr="00810066" w:rsidRDefault="00810066" w:rsidP="00810066">
      <w:pPr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2024-2027 годы - строительство ул. Большая Московская и реконструкция ул. 20 Января. </w:t>
      </w:r>
    </w:p>
    <w:p w:rsidR="00810066" w:rsidRPr="00810066" w:rsidRDefault="00810066" w:rsidP="00810066">
      <w:pPr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 году - реконструкция существующего участка и строительство недост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ющего участка ул. Королева;</w:t>
      </w:r>
    </w:p>
    <w:p w:rsidR="00810066" w:rsidRPr="00810066" w:rsidRDefault="00810066" w:rsidP="00810066">
      <w:pPr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2024-2025 годах - строительство средней общеобразовательной школы на 1501 место в Державинском районе.</w:t>
      </w:r>
    </w:p>
    <w:p w:rsidR="00810066" w:rsidRPr="00810066" w:rsidRDefault="00810066" w:rsidP="00810066">
      <w:pPr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Достижению прогнозных показателей будет способствовать и ожидаемая акти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 постановки завершенных строительством объектов индивидуального жилищн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 строительства на государственный кадастровый учет и регистрации прав на них без обращения в орган местного самоуправления в связи с продлением срока «Дачной амнистии» до 1 марта 2026 года, которая распространяется не только на садовые д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ма, но и на объекты индивидуального жилищного строительства.</w:t>
      </w:r>
      <w:proofErr w:type="gramEnd"/>
    </w:p>
    <w:p w:rsidR="00810066" w:rsidRPr="00810066" w:rsidRDefault="00810066" w:rsidP="00810066">
      <w:pPr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2023 году объем инвестиций в основной капитал (без субъектов малого пре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принимательства) составил 41,1 </w:t>
      </w:r>
      <w:proofErr w:type="gram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млрд</w:t>
      </w:r>
      <w:proofErr w:type="gramEnd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и увеличился на 28,8% к 2022 году в с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поставимых ценах, в том числе доля собственных средств предприятий составляет 71,2%. </w:t>
      </w:r>
    </w:p>
    <w:p w:rsidR="00810066" w:rsidRPr="00810066" w:rsidRDefault="00810066" w:rsidP="00810066">
      <w:pPr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общем объеме инвестиций 47,2% приходится на обрабатывающие отрасли промышленности. Несмотря на сложную экономическую ситуацию, предприятия не сворачивают реализацию своих инвестиционных программ. В городе продолжается реализация 33 частных инвестиционных проектов с общим объемом инвестиций 37,5 </w:t>
      </w:r>
      <w:proofErr w:type="gram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млрд</w:t>
      </w:r>
      <w:proofErr w:type="gramEnd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в том числе 14 - в производственной сфере.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В 2024 году ввиду скачкообразного характера инвестиционного процесса объем инвестиций в основной капитал (без субъектов малого предпринимательства) будет иметь тенденцию замедления до уровня 89,0% к 2023 году или 39,5 </w:t>
      </w:r>
      <w:proofErr w:type="gramStart"/>
      <w:r w:rsidRPr="00810066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млрд</w:t>
      </w:r>
      <w:proofErr w:type="gramEnd"/>
      <w:r w:rsidRPr="00810066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рублей, к концу прогнозного периода планируется выйти на объем инвестиций по Великому Новгороду в объеме 54,2 млрд рублей. 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промышленных предприятиях города продолжается модернизация оборуд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вания, строительство или реконструкция цехов. Активно развиваться бизнесу позв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ляют комплексные меры поддержки. Увеличивается инновационный потенциал, и в долгосрочном периоде создание среды для привлечения инвестиций и инноваций в экономику Великого Новгорода будет являться центральным звеном в развитии. </w:t>
      </w:r>
    </w:p>
    <w:p w:rsidR="00810066" w:rsidRPr="00810066" w:rsidRDefault="00810066" w:rsidP="00810066">
      <w:pPr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По-прежнему оказывается индивидуальное сопровождение и консультационная поддержка каждого инвестиционного проекта на всех этапах его реализации в случае необходимости. Постепенно происходит уменьшение различных административных барьеров, сокращаются сроки выполнения административных процедур, что, бе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условно, будет способствовать привлечению в Великий Новгород новых инвесторов. В рамках внедрения муниципального инвестиционного стандарта на территории В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ликого Новгорода большой популярностью пользуется механизм обратной связи между инвестором и инвестиционным уполномоченным.</w:t>
      </w:r>
    </w:p>
    <w:p w:rsidR="00810066" w:rsidRPr="00810066" w:rsidRDefault="00810066" w:rsidP="00810066">
      <w:pPr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Благоприятное влияние на развитие инвестиционной деятельности Великого Новгорода оказывает его географическое расположение между Москвой и Санкт-Петербургом, позволяющее создавать удобные логистические цепочки.</w:t>
      </w:r>
    </w:p>
    <w:p w:rsidR="00810066" w:rsidRPr="00810066" w:rsidRDefault="00810066" w:rsidP="00810066">
      <w:pPr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Великого Новгорода расположено огромное количество памя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ников истории и культуры. Их наличие, а также благоприятные условия </w:t>
      </w:r>
      <w:proofErr w:type="gram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ют потенциальные возможности</w:t>
      </w:r>
      <w:proofErr w:type="gramEnd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развития туризма. И это не только экскурсио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маршруты, но и строительство различных гостиничных комплексов и точек 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щепита.</w:t>
      </w:r>
    </w:p>
    <w:p w:rsidR="00810066" w:rsidRPr="00810066" w:rsidRDefault="00810066" w:rsidP="00810066">
      <w:pPr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Высокий потребительский потенциал, развитый уровень деловой инфраструкт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ры, наличие квалифицированных специалистов в различных областях делают Вел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кий Новгород привлекательным для потенциальных инвесторов. </w:t>
      </w:r>
    </w:p>
    <w:p w:rsidR="00810066" w:rsidRPr="00810066" w:rsidRDefault="00810066" w:rsidP="00810066">
      <w:pPr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Достижению прогнозных показателей будет способствовать реализация крупных (масштабных) инвестиционных проектов в строительстве, таких как строительство студенческого кампуса, расширение особой экономической зоны, строительство в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сокоскоростной магистрали (ВСМ), которые будут способствовать улучшению эк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номической и демографической ситуации в городском округе и в регионе в целом, что повлечет за собой необходимость строительства новых производств, объектов с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циальной инфраструктуры – садов, школ, жилого фонда, объектов социально-культурного назначения.  </w:t>
      </w:r>
      <w:proofErr w:type="gramEnd"/>
    </w:p>
    <w:p w:rsidR="00810066" w:rsidRPr="00810066" w:rsidRDefault="00810066" w:rsidP="0081006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Малое и среднее предпринимательство</w:t>
      </w:r>
    </w:p>
    <w:p w:rsidR="00810066" w:rsidRPr="00810066" w:rsidRDefault="00810066" w:rsidP="00810066">
      <w:pPr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Малый бизнес Великого Новгорода - это многоотраслевой значимый сектор г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родской экономики, он играет существенную роль в формировании бюджета Велик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Новгорода, способствует созданию новых рабочих мест, формированию широкого круга эффективных собственников, наполнению потребительского рынка качестве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ными товарами и услугами.</w:t>
      </w:r>
    </w:p>
    <w:p w:rsidR="00810066" w:rsidRPr="00810066" w:rsidRDefault="00810066" w:rsidP="00810066">
      <w:pPr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начало 2024 года в Великом Новгороде действовало 4,2 тыс. малых и средних предприятий, со среднесписочной численностью 24,0 тыс. человек. В качестве инд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видуальных предпринимателей зарегистрировано 5,9 тыс. человек. Данные показат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 в 2023 году имели тенденцию снижения по отношению к 2022 году в связи с осложнившейся экономической ситуацией по причине внешнего </w:t>
      </w:r>
      <w:proofErr w:type="spell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санкционного</w:t>
      </w:r>
      <w:proofErr w:type="spellEnd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ления.</w:t>
      </w:r>
    </w:p>
    <w:p w:rsidR="00810066" w:rsidRPr="00810066" w:rsidRDefault="00810066" w:rsidP="00810066">
      <w:pPr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Динамика, заложенная в основу прогноза на долгосрочную перспективу до 2030 года, базируется на планируемом эффекте от антикризисных мер поддержки бизнеса на федеральном, региональном и муниципальном уровнях для преодоления последствий финансовых и экономических санкций, введенных против России. </w:t>
      </w:r>
      <w:proofErr w:type="gramEnd"/>
    </w:p>
    <w:p w:rsidR="00810066" w:rsidRPr="00810066" w:rsidRDefault="00810066" w:rsidP="00810066">
      <w:pPr>
        <w:spacing w:beforeLines="20" w:before="48" w:afterLines="20" w:after="48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концу 2030 года количество малых и средних предприятий увеличится к уро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ню 2023 года на 4,9%, среднесписочная численность работников малых и средних предприятий – на 5,0%, оборот – на 9,3%.</w:t>
      </w:r>
    </w:p>
    <w:p w:rsidR="00810066" w:rsidRPr="00810066" w:rsidRDefault="00810066" w:rsidP="00810066">
      <w:pPr>
        <w:spacing w:beforeLines="20" w:before="48" w:afterLines="20" w:after="48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Труд и занятость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Трудовая занятость населения является важным фактором стабильности в гор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де. 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2023 году уровень безработицы составил беспрецедентно низкий показатель – 0,4% к численности трудоспособного населения и в текущем году также будет иметь тенденцию снижения до уровня 0,3%. В среднесрочном периоде показатель закрепи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 данном значении и сохранится в  долгосрочном периоде.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оценке в 2023 году среднегодовая численность занятых в экономике состав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ла 109,51 тыс. человек, в 2024 году - ожидается на уровне 100,1% к предыдущему г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и составит 109,57 тыс. человек. С учетом динамики трудоспособного населения и перспектив развития города, предполагающих приток трудовых ресурсов с вязи с р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ализацией масштабных проектов, в том числе введение в эксплуатацию высокоск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ростной железнодорожной магистрали, численность занятых в экономике будет иметь тенденцию роста и к концу прогнозного периода составит 122,6 тыс. человек.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Среднемесячная заработная плата по Великому Новгороду (по оценке по полн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му кругу организаций) в 2023 году возросла к уровню 2022 года на 14,6% и составила 54,6 тыс. рублей, в 2024 году рост составит 117,0% к предыдущему году (62,4 тыс. рублей). В дальнейшем динамика заработной платы будет демонстрировать умере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рост. К концу прогнозного периода показатель среднемесячной заработной пл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ты возрастет до 90,5 тыс. рублей (рост к 2023 году – в 1,7 раза).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обеспечение устойчивого роста оплаты труда работников в прогнозный п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риод будет направлен широкий спектр государственных мер: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ежегодное повышение минимального </w:t>
      </w:r>
      <w:proofErr w:type="gram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размера оплаты труда</w:t>
      </w:r>
      <w:proofErr w:type="gramEnd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(МРОТ) с обеспеч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 повышения МРОТ опережающими темпами более чем в два раза к установле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ной величине на 2023 год и достижением его величины не менее 35,0 тыс. рублей в месяц к 2030 году;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разработка новых систем оплаты труда работников бюджетной сферы, а также их внедрение с 2027 года; 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ежегодная индексация заработной платы иных категорий работников организ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ций бюджетной сферы. </w:t>
      </w:r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Росту заработной платы будет также способствовать реализация мер, направле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на обеспечение роста производительности труда в экономике, которые пред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сматривают повышение квалификации работников как высвобождаемых из неэффе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тивных производств, так и вновь поступающих на рынок труда с учетом необходим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обеспечения потребности экономики соответствующими высококвалифицир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ванными кадрами, которые будут трудоустраиваться на создаваемые высокооплач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ваемые высокопроизводительные рабочие места.</w:t>
      </w:r>
      <w:proofErr w:type="gramEnd"/>
    </w:p>
    <w:p w:rsidR="00810066" w:rsidRPr="00810066" w:rsidRDefault="00810066" w:rsidP="008100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 заработной платы всех работников в 2023 году увеличился на 13,7%, ож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даемый рост по итогам 2024 года – 14,5%. К концу прогнозного периода величина фонда заработной платы составит 90,4 </w:t>
      </w:r>
      <w:proofErr w:type="gramStart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млрд</w:t>
      </w:r>
      <w:proofErr w:type="gramEnd"/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(рост к 2023 году – в 1,6 раза).</w:t>
      </w:r>
    </w:p>
    <w:p w:rsidR="00810066" w:rsidRPr="00810066" w:rsidRDefault="00810066" w:rsidP="008100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06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</w:p>
    <w:p w:rsidR="00810066" w:rsidRDefault="00810066" w:rsidP="00347904">
      <w:pPr>
        <w:ind w:right="-29"/>
      </w:pPr>
    </w:p>
    <w:sectPr w:rsidR="00810066" w:rsidSect="00FA2F78">
      <w:footerReference w:type="default" r:id="rId10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904" w:rsidRDefault="00347904">
      <w:pPr>
        <w:spacing w:after="0" w:line="240" w:lineRule="auto"/>
      </w:pPr>
      <w:r>
        <w:separator/>
      </w:r>
    </w:p>
  </w:endnote>
  <w:endnote w:type="continuationSeparator" w:id="0">
    <w:p w:rsidR="00347904" w:rsidRDefault="0034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296755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367BC" w:rsidRPr="00AC5A12" w:rsidRDefault="00810066">
        <w:pPr>
          <w:pStyle w:val="a9"/>
          <w:jc w:val="right"/>
          <w:rPr>
            <w:rFonts w:ascii="Times New Roman" w:hAnsi="Times New Roman"/>
          </w:rPr>
        </w:pPr>
        <w:r w:rsidRPr="00AC5A12">
          <w:rPr>
            <w:rFonts w:ascii="Times New Roman" w:hAnsi="Times New Roman"/>
          </w:rPr>
          <w:fldChar w:fldCharType="begin"/>
        </w:r>
        <w:r w:rsidRPr="00AC5A12">
          <w:rPr>
            <w:rFonts w:ascii="Times New Roman" w:hAnsi="Times New Roman"/>
          </w:rPr>
          <w:instrText>PAGE   \* MERGEFORMAT</w:instrText>
        </w:r>
        <w:r w:rsidRPr="00AC5A12">
          <w:rPr>
            <w:rFonts w:ascii="Times New Roman" w:hAnsi="Times New Roman"/>
          </w:rPr>
          <w:fldChar w:fldCharType="separate"/>
        </w:r>
        <w:r w:rsidR="004C080A">
          <w:rPr>
            <w:rFonts w:ascii="Times New Roman" w:hAnsi="Times New Roman"/>
            <w:noProof/>
          </w:rPr>
          <w:t>29</w:t>
        </w:r>
        <w:r w:rsidRPr="00AC5A12">
          <w:rPr>
            <w:rFonts w:ascii="Times New Roman" w:hAnsi="Times New Roman"/>
          </w:rPr>
          <w:fldChar w:fldCharType="end"/>
        </w:r>
      </w:p>
    </w:sdtContent>
  </w:sdt>
  <w:p w:rsidR="009367BC" w:rsidRDefault="004C08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904" w:rsidRDefault="00347904">
      <w:pPr>
        <w:spacing w:after="0" w:line="240" w:lineRule="auto"/>
      </w:pPr>
      <w:r>
        <w:separator/>
      </w:r>
    </w:p>
  </w:footnote>
  <w:footnote w:type="continuationSeparator" w:id="0">
    <w:p w:rsidR="00347904" w:rsidRDefault="00347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904" w:rsidRPr="004F6BF4" w:rsidRDefault="00347904" w:rsidP="00347904">
    <w:pPr>
      <w:pStyle w:val="a3"/>
      <w:jc w:val="center"/>
      <w:rPr>
        <w:sz w:val="24"/>
        <w:szCs w:val="24"/>
      </w:rPr>
    </w:pPr>
    <w:r w:rsidRPr="004F6BF4">
      <w:rPr>
        <w:sz w:val="24"/>
        <w:szCs w:val="24"/>
      </w:rPr>
      <w:fldChar w:fldCharType="begin"/>
    </w:r>
    <w:r w:rsidRPr="004F6BF4">
      <w:rPr>
        <w:sz w:val="24"/>
        <w:szCs w:val="24"/>
      </w:rPr>
      <w:instrText>PAGE   \* MERGEFORMAT</w:instrText>
    </w:r>
    <w:r w:rsidRPr="004F6BF4">
      <w:rPr>
        <w:sz w:val="24"/>
        <w:szCs w:val="24"/>
      </w:rPr>
      <w:fldChar w:fldCharType="separate"/>
    </w:r>
    <w:r w:rsidR="004C080A">
      <w:rPr>
        <w:noProof/>
        <w:sz w:val="24"/>
        <w:szCs w:val="24"/>
      </w:rPr>
      <w:t>29</w:t>
    </w:r>
    <w:r w:rsidRPr="004F6BF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0E46"/>
    <w:multiLevelType w:val="hybridMultilevel"/>
    <w:tmpl w:val="F396696A"/>
    <w:lvl w:ilvl="0" w:tplc="8C485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5F"/>
    <w:rsid w:val="001A105F"/>
    <w:rsid w:val="00347904"/>
    <w:rsid w:val="003548B6"/>
    <w:rsid w:val="003652B2"/>
    <w:rsid w:val="004C080A"/>
    <w:rsid w:val="006C21E8"/>
    <w:rsid w:val="007107AA"/>
    <w:rsid w:val="00810066"/>
    <w:rsid w:val="00903EC6"/>
    <w:rsid w:val="00C62A66"/>
    <w:rsid w:val="00CE29D2"/>
    <w:rsid w:val="00C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548B6"/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8B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548B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548B6"/>
    <w:rPr>
      <w:color w:val="800080"/>
      <w:u w:val="single"/>
    </w:rPr>
  </w:style>
  <w:style w:type="paragraph" w:customStyle="1" w:styleId="xl70">
    <w:name w:val="xl70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548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5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548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548B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548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35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35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5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548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54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3548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3548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54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548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54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548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354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54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1006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81006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548B6"/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8B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548B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548B6"/>
    <w:rPr>
      <w:color w:val="800080"/>
      <w:u w:val="single"/>
    </w:rPr>
  </w:style>
  <w:style w:type="paragraph" w:customStyle="1" w:styleId="xl70">
    <w:name w:val="xl70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548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5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548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548B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548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35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35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5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548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54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3548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3548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3548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54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548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54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548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354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54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1006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8100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6158</Words>
  <Characters>35103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Маргарита Игоревна</dc:creator>
  <cp:lastModifiedBy>Алексеева Маргарита Игоревна</cp:lastModifiedBy>
  <cp:revision>3</cp:revision>
  <dcterms:created xsi:type="dcterms:W3CDTF">2024-12-05T08:17:00Z</dcterms:created>
  <dcterms:modified xsi:type="dcterms:W3CDTF">2024-12-05T08:19:00Z</dcterms:modified>
</cp:coreProperties>
</file>